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62C72E3C" w14:textId="34EA8151" w:rsidR="00F6318B" w:rsidRPr="00F6318B" w:rsidRDefault="0034548A" w:rsidP="00C52885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1" locked="0" layoutInCell="1" allowOverlap="1" wp14:anchorId="408B3B53" wp14:editId="6700BD65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</w:tblGrid>
      <w:tr w:rsidR="00F6318B" w:rsidRPr="00721EA0" w14:paraId="6C1844F6" w14:textId="77777777" w:rsidTr="00C52885">
        <w:trPr>
          <w:trHeight w:val="2500"/>
        </w:trPr>
        <w:tc>
          <w:tcPr>
            <w:tcW w:w="4962" w:type="dxa"/>
            <w:hideMark/>
          </w:tcPr>
          <w:p w14:paraId="22427F3E" w14:textId="07CE01CF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211518577"/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C3962" w:rsidRPr="005C3962">
              <w:rPr>
                <w:b/>
                <w:sz w:val="28"/>
                <w:szCs w:val="28"/>
                <w:highlight w:val="white"/>
                <w:lang w:val="uk-UA" w:eastAsia="uk-UA"/>
              </w:rPr>
              <w:t>товариств</w:t>
            </w:r>
            <w:r w:rsidR="005C3962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5C3962" w:rsidRPr="005C3962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 обмеженою відповідальністю </w:t>
            </w:r>
            <w:r w:rsidR="00C72FE2" w:rsidRPr="005C3962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«СОЛІДАРНІСТЬ-ПЛЮС»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договору оренди </w:t>
            </w:r>
            <w:r w:rsidR="00FF2729" w:rsidRPr="00C52885">
              <w:rPr>
                <w:b/>
                <w:sz w:val="28"/>
                <w:szCs w:val="28"/>
                <w:lang w:val="uk-UA"/>
              </w:rPr>
              <w:t>земельн</w:t>
            </w:r>
            <w:r w:rsidR="00294B33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C52885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C52885">
              <w:rPr>
                <w:b/>
                <w:sz w:val="28"/>
                <w:szCs w:val="28"/>
                <w:lang w:val="uk-UA"/>
              </w:rPr>
              <w:t>к</w:t>
            </w:r>
            <w:r w:rsidR="00294B33">
              <w:rPr>
                <w:b/>
                <w:sz w:val="28"/>
                <w:szCs w:val="28"/>
                <w:lang w:val="uk-UA"/>
              </w:rPr>
              <w:t>и</w:t>
            </w:r>
            <w:r w:rsidR="00C52885">
              <w:rPr>
                <w:b/>
                <w:sz w:val="28"/>
                <w:szCs w:val="28"/>
                <w:lang w:val="uk-UA"/>
              </w:rPr>
              <w:br/>
            </w:r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19 червня 2001 року № 78-6-00024 (зі змінами)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для будівництва та експлуатації збірно-розбірних павільйонів з </w:t>
            </w:r>
            <w:proofErr w:type="spellStart"/>
            <w:r w:rsidR="00DC7BC1" w:rsidRPr="00DC7BC1">
              <w:rPr>
                <w:b/>
                <w:sz w:val="28"/>
                <w:szCs w:val="28"/>
                <w:lang w:val="uk-UA"/>
              </w:rPr>
              <w:t>благоустроєм</w:t>
            </w:r>
            <w:proofErr w:type="spellEnd"/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 території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DC7BC1" w:rsidRPr="00DC7BC1">
              <w:rPr>
                <w:b/>
                <w:sz w:val="28"/>
                <w:szCs w:val="28"/>
                <w:lang w:val="uk-UA"/>
              </w:rPr>
              <w:t>просп</w:t>
            </w:r>
            <w:proofErr w:type="spellEnd"/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. </w:t>
            </w:r>
            <w:r w:rsidR="005C3962">
              <w:rPr>
                <w:b/>
                <w:sz w:val="28"/>
                <w:szCs w:val="28"/>
                <w:lang w:val="uk-UA"/>
              </w:rPr>
              <w:t>Степана Бандери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16-б</w:t>
            </w:r>
            <w:r w:rsidR="00C52885">
              <w:rPr>
                <w:b/>
                <w:sz w:val="28"/>
                <w:szCs w:val="28"/>
                <w:lang w:val="uk-UA"/>
              </w:rPr>
              <w:br/>
            </w:r>
            <w:r w:rsidR="00DC7BC1" w:rsidRPr="00DC7BC1">
              <w:rPr>
                <w:b/>
                <w:sz w:val="28"/>
                <w:szCs w:val="28"/>
                <w:lang w:val="uk-UA"/>
              </w:rPr>
              <w:t>(літ. А, Б, В, Г, Д, Е, Ж, З, И, К, Л)</w:t>
            </w:r>
            <w:r w:rsidR="009E0D10">
              <w:rPr>
                <w:b/>
                <w:sz w:val="28"/>
                <w:szCs w:val="28"/>
                <w:lang w:val="uk-UA"/>
              </w:rPr>
              <w:t>,</w:t>
            </w:r>
            <w:r w:rsidR="00C52885">
              <w:rPr>
                <w:b/>
                <w:sz w:val="28"/>
                <w:szCs w:val="28"/>
                <w:lang w:val="uk-UA"/>
              </w:rPr>
              <w:br/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Вербов</w:t>
            </w:r>
            <w:r w:rsidR="005C3962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24 (літ. А)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C52885">
              <w:rPr>
                <w:b/>
                <w:sz w:val="28"/>
                <w:szCs w:val="28"/>
                <w:lang w:val="uk-UA"/>
              </w:rPr>
              <w:t>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Оболонському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942AE4" w:rsidRPr="00942AE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  <w:bookmarkEnd w:id="0"/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524005730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524005730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76F56BA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5C3962" w:rsidRPr="005C3962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5C3962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5C3962" w:rsidRPr="005C3962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</w:t>
      </w:r>
      <w:r w:rsidRPr="005C3962">
        <w:rPr>
          <w:color w:val="000000"/>
          <w:sz w:val="28"/>
          <w:szCs w:val="28"/>
          <w:shd w:val="clear" w:color="auto" w:fill="FFFFFF"/>
          <w:lang w:val="uk-UA"/>
        </w:rPr>
        <w:t xml:space="preserve"> «СОЛІДАРНІСТЬ-ПЛЮС» </w:t>
      </w:r>
      <w:r w:rsidRPr="00DC7BC1">
        <w:rPr>
          <w:snapToGrid w:val="0"/>
          <w:sz w:val="28"/>
          <w:lang w:val="uk-UA"/>
        </w:rPr>
        <w:t>(код ЄДРПОУ 25267709, місцезнаходження юридичної особи: 04655, м. Київ, вул. Вербова, 24, літера А) від 12 серпня</w:t>
      </w:r>
      <w:r w:rsidR="005C3962">
        <w:rPr>
          <w:snapToGrid w:val="0"/>
          <w:sz w:val="28"/>
          <w:lang w:val="uk-UA"/>
        </w:rPr>
        <w:br/>
      </w:r>
      <w:r w:rsidRPr="00DC7BC1">
        <w:rPr>
          <w:snapToGrid w:val="0"/>
          <w:sz w:val="28"/>
          <w:lang w:val="uk-UA"/>
        </w:rPr>
        <w:t>2025 року № 524005730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942AE4" w:rsidRPr="00942AE4">
        <w:rPr>
          <w:snapToGrid w:val="0"/>
          <w:sz w:val="28"/>
          <w:lang w:val="uk-UA"/>
        </w:rPr>
        <w:t xml:space="preserve">абзацу четвертого розділу ІХ «Перехідні положення» Закону України «Про оренду землі», </w:t>
      </w:r>
      <w:r w:rsidR="00C72FE2">
        <w:rPr>
          <w:snapToGrid w:val="0"/>
          <w:sz w:val="28"/>
          <w:lang w:val="uk-UA"/>
        </w:rPr>
        <w:t>пункту 34 частини першої статті 26</w:t>
      </w:r>
      <w:r w:rsidR="00B3289E" w:rsidRPr="00B3289E">
        <w:rPr>
          <w:snapToGrid w:val="0"/>
          <w:sz w:val="28"/>
          <w:lang w:val="uk-UA"/>
        </w:rPr>
        <w:t xml:space="preserve">, </w:t>
      </w:r>
      <w:r w:rsidR="00B3289E" w:rsidRPr="00FA12B6">
        <w:rPr>
          <w:snapToGrid w:val="0"/>
          <w:sz w:val="28"/>
          <w:lang w:val="uk-UA"/>
        </w:rPr>
        <w:t>статті 60</w:t>
      </w:r>
      <w:r w:rsidR="00C72FE2">
        <w:rPr>
          <w:snapToGrid w:val="0"/>
          <w:sz w:val="28"/>
          <w:lang w:val="uk-UA"/>
        </w:rPr>
        <w:t xml:space="preserve"> 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</w:t>
      </w:r>
      <w:r w:rsidR="00FA12B6">
        <w:rPr>
          <w:snapToGrid w:val="0"/>
          <w:sz w:val="28"/>
          <w:lang w:val="uk-UA"/>
        </w:rPr>
        <w:br/>
      </w:r>
      <w:r w:rsidR="00562552" w:rsidRPr="00562552">
        <w:rPr>
          <w:snapToGrid w:val="0"/>
          <w:sz w:val="28"/>
          <w:lang w:val="uk-UA"/>
        </w:rPr>
        <w:t>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5C3962">
        <w:rPr>
          <w:snapToGrid w:val="0"/>
          <w:sz w:val="28"/>
          <w:lang w:val="uk-UA"/>
        </w:rPr>
        <w:t xml:space="preserve">рішення Київської міської ради від </w:t>
      </w:r>
      <w:r w:rsidR="005C3962">
        <w:rPr>
          <w:snapToGrid w:val="0"/>
          <w:sz w:val="28"/>
          <w:lang w:val="uk-UA"/>
        </w:rPr>
        <w:t>07</w:t>
      </w:r>
      <w:r w:rsidR="00205032" w:rsidRPr="005C3962">
        <w:rPr>
          <w:snapToGrid w:val="0"/>
          <w:sz w:val="28"/>
          <w:lang w:val="uk-UA"/>
        </w:rPr>
        <w:t xml:space="preserve"> </w:t>
      </w:r>
      <w:r w:rsidR="00FA12B6">
        <w:rPr>
          <w:snapToGrid w:val="0"/>
          <w:sz w:val="28"/>
          <w:lang w:val="uk-UA"/>
        </w:rPr>
        <w:t>липня</w:t>
      </w:r>
      <w:r w:rsidR="00205032" w:rsidRPr="005C3962">
        <w:rPr>
          <w:snapToGrid w:val="0"/>
          <w:sz w:val="28"/>
          <w:lang w:val="uk-UA"/>
        </w:rPr>
        <w:t xml:space="preserve"> 20</w:t>
      </w:r>
      <w:r w:rsidR="00FA12B6">
        <w:rPr>
          <w:snapToGrid w:val="0"/>
          <w:sz w:val="28"/>
          <w:lang w:val="uk-UA"/>
        </w:rPr>
        <w:t>16</w:t>
      </w:r>
      <w:r w:rsidR="00205032" w:rsidRPr="005C3962">
        <w:rPr>
          <w:snapToGrid w:val="0"/>
          <w:sz w:val="28"/>
          <w:lang w:val="uk-UA"/>
        </w:rPr>
        <w:t xml:space="preserve"> року № </w:t>
      </w:r>
      <w:r w:rsidR="00FA12B6">
        <w:rPr>
          <w:snapToGrid w:val="0"/>
          <w:sz w:val="28"/>
          <w:lang w:val="uk-UA"/>
        </w:rPr>
        <w:t>559</w:t>
      </w:r>
      <w:r w:rsidR="00205032" w:rsidRPr="005C3962">
        <w:rPr>
          <w:snapToGrid w:val="0"/>
          <w:sz w:val="28"/>
          <w:lang w:val="uk-UA"/>
        </w:rPr>
        <w:t>/</w:t>
      </w:r>
      <w:r w:rsidR="00FA12B6">
        <w:rPr>
          <w:snapToGrid w:val="0"/>
          <w:sz w:val="28"/>
          <w:lang w:val="uk-UA"/>
        </w:rPr>
        <w:t>559</w:t>
      </w:r>
      <w:r w:rsidR="00205032" w:rsidRPr="005C3962">
        <w:rPr>
          <w:snapToGrid w:val="0"/>
          <w:sz w:val="28"/>
          <w:lang w:val="uk-UA"/>
        </w:rPr>
        <w:t xml:space="preserve"> «Про перейменування вулиц</w:t>
      </w:r>
      <w:r w:rsidR="00FA12B6">
        <w:rPr>
          <w:snapToGrid w:val="0"/>
          <w:sz w:val="28"/>
          <w:lang w:val="uk-UA"/>
        </w:rPr>
        <w:t>ь, проспекту та провулку у місті</w:t>
      </w:r>
      <w:r w:rsidR="00205032" w:rsidRPr="005C3962">
        <w:rPr>
          <w:snapToGrid w:val="0"/>
          <w:sz w:val="28"/>
          <w:lang w:val="uk-UA"/>
        </w:rPr>
        <w:t xml:space="preserve"> Києв</w:t>
      </w:r>
      <w:r w:rsidR="00FA12B6">
        <w:rPr>
          <w:snapToGrid w:val="0"/>
          <w:sz w:val="28"/>
          <w:lang w:val="uk-UA"/>
        </w:rPr>
        <w:t>і</w:t>
      </w:r>
      <w:r w:rsidR="00205032" w:rsidRPr="005C3962">
        <w:rPr>
          <w:snapToGrid w:val="0"/>
          <w:sz w:val="28"/>
          <w:lang w:val="uk-UA"/>
        </w:rPr>
        <w:t>»,</w:t>
      </w:r>
      <w:r w:rsidR="00205032" w:rsidRPr="00205032">
        <w:rPr>
          <w:snapToGrid w:val="0"/>
          <w:sz w:val="28"/>
          <w:lang w:val="uk-UA"/>
        </w:rPr>
        <w:t xml:space="preserve">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3E6650B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A12B6">
        <w:rPr>
          <w:rFonts w:ascii="Times New Roman" w:hAnsi="Times New Roman"/>
          <w:sz w:val="28"/>
          <w:szCs w:val="28"/>
          <w:lang w:val="uk-UA"/>
        </w:rPr>
        <w:t>10 листопада 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2B6" w:rsidRPr="005C3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FA1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FA12B6" w:rsidRPr="005C3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</w:t>
      </w:r>
      <w:r w:rsidR="00B3289E" w:rsidRPr="005C3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«СОЛІДАРНІСТЬ-ПЛЮС»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5C396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</w:t>
      </w:r>
      <w:r w:rsidRPr="00C52885">
        <w:rPr>
          <w:rFonts w:ascii="Times New Roman" w:hAnsi="Times New Roman"/>
          <w:sz w:val="28"/>
          <w:szCs w:val="28"/>
          <w:lang w:val="uk-UA"/>
        </w:rPr>
        <w:t>земельн</w:t>
      </w:r>
      <w:r w:rsidR="00C52885" w:rsidRPr="00C52885">
        <w:rPr>
          <w:rFonts w:ascii="Times New Roman" w:hAnsi="Times New Roman"/>
          <w:sz w:val="28"/>
          <w:szCs w:val="28"/>
          <w:lang w:val="uk-UA"/>
        </w:rPr>
        <w:t>их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C52885" w:rsidRPr="00C52885">
        <w:rPr>
          <w:rFonts w:ascii="Times New Roman" w:hAnsi="Times New Roman"/>
          <w:sz w:val="28"/>
          <w:szCs w:val="28"/>
          <w:lang w:val="uk-UA"/>
        </w:rPr>
        <w:t>о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B3289E">
        <w:rPr>
          <w:rFonts w:ascii="Times New Roman" w:hAnsi="Times New Roman"/>
          <w:sz w:val="28"/>
          <w:szCs w:val="28"/>
          <w:lang w:val="uk-UA"/>
        </w:rPr>
        <w:t>від 19 червня 2001 року № 78-6-00024 (</w:t>
      </w:r>
      <w:r w:rsidR="00FA12B6">
        <w:rPr>
          <w:rFonts w:ascii="Times New Roman" w:hAnsi="Times New Roman"/>
          <w:sz w:val="28"/>
          <w:szCs w:val="28"/>
          <w:lang w:val="uk-UA"/>
        </w:rPr>
        <w:t>у редакції договору про поновлення та внесення змін до договору оренди земельн</w:t>
      </w:r>
      <w:r w:rsidR="00294B33">
        <w:rPr>
          <w:rFonts w:ascii="Times New Roman" w:hAnsi="Times New Roman"/>
          <w:sz w:val="28"/>
          <w:szCs w:val="28"/>
          <w:lang w:val="uk-UA"/>
        </w:rPr>
        <w:t>ої</w:t>
      </w:r>
      <w:r w:rsidR="00FA12B6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294B33">
        <w:rPr>
          <w:rFonts w:ascii="Times New Roman" w:hAnsi="Times New Roman"/>
          <w:sz w:val="28"/>
          <w:szCs w:val="28"/>
          <w:lang w:val="uk-UA"/>
        </w:rPr>
        <w:t>и</w:t>
      </w:r>
      <w:r w:rsidR="00C52885" w:rsidRPr="00C52885">
        <w:rPr>
          <w:rFonts w:ascii="Times New Roman" w:hAnsi="Times New Roman"/>
          <w:sz w:val="28"/>
          <w:szCs w:val="28"/>
          <w:lang w:val="uk-UA"/>
        </w:rPr>
        <w:br/>
      </w:r>
      <w:r w:rsidR="00FA12B6">
        <w:rPr>
          <w:rFonts w:ascii="Times New Roman" w:hAnsi="Times New Roman"/>
          <w:sz w:val="28"/>
          <w:szCs w:val="28"/>
          <w:lang w:val="uk-UA"/>
        </w:rPr>
        <w:t>від 09 листопада 2015 року № 901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3289E" w:rsidRPr="005C3962">
        <w:rPr>
          <w:rFonts w:ascii="Times New Roman" w:hAnsi="Times New Roman"/>
          <w:sz w:val="28"/>
          <w:szCs w:val="28"/>
          <w:lang w:val="uk-UA"/>
        </w:rPr>
        <w:t xml:space="preserve">для будівництва та експлуатації збірно-розбірних павільйонів з </w:t>
      </w:r>
      <w:proofErr w:type="spellStart"/>
      <w:r w:rsidR="00B3289E" w:rsidRPr="005C3962">
        <w:rPr>
          <w:rFonts w:ascii="Times New Roman" w:hAnsi="Times New Roman"/>
          <w:sz w:val="28"/>
          <w:szCs w:val="28"/>
          <w:lang w:val="uk-UA"/>
        </w:rPr>
        <w:t>благоустроєм</w:t>
      </w:r>
      <w:proofErr w:type="spellEnd"/>
      <w:r w:rsidR="00B3289E" w:rsidRPr="005C3962">
        <w:rPr>
          <w:rFonts w:ascii="Times New Roman" w:hAnsi="Times New Roman"/>
          <w:sz w:val="28"/>
          <w:szCs w:val="28"/>
          <w:lang w:val="uk-UA"/>
        </w:rPr>
        <w:t xml:space="preserve"> території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B3289E" w:rsidRPr="005C3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B3289E" w:rsidRPr="005C396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FA1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Степана Бандери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16-б (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А, Б, В, Г, Д, Е, Ж, З, И, К, Л)</w:t>
      </w:r>
      <w:r w:rsidR="00FA1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вул.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Вербов</w:t>
      </w:r>
      <w:r w:rsidR="00FA1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24 (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А) </w:t>
      </w:r>
      <w:r w:rsidR="00FA12B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Оболонському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5C3962">
        <w:rPr>
          <w:rFonts w:ascii="Times New Roman" w:hAnsi="Times New Roman"/>
          <w:sz w:val="28"/>
          <w:szCs w:val="28"/>
        </w:rPr>
        <w:t>8000000000:78:085:0013</w:t>
      </w:r>
      <w:r w:rsidR="00FA12B6">
        <w:rPr>
          <w:rFonts w:ascii="Times New Roman" w:hAnsi="Times New Roman"/>
          <w:sz w:val="28"/>
          <w:szCs w:val="28"/>
          <w:lang w:val="uk-UA"/>
        </w:rPr>
        <w:t xml:space="preserve">, площа </w:t>
      </w:r>
      <w:r w:rsidR="00FA12B6" w:rsidRPr="005C3962">
        <w:rPr>
          <w:rFonts w:ascii="Times New Roman" w:hAnsi="Times New Roman"/>
          <w:sz w:val="28"/>
          <w:szCs w:val="28"/>
          <w:highlight w:val="white"/>
          <w:lang w:eastAsia="uk-UA"/>
        </w:rPr>
        <w:t>0,1832</w:t>
      </w:r>
      <w:r w:rsidR="00FA12B6">
        <w:rPr>
          <w:rFonts w:ascii="Times New Roman" w:hAnsi="Times New Roman"/>
          <w:sz w:val="28"/>
          <w:szCs w:val="28"/>
          <w:lang w:val="uk-UA" w:eastAsia="uk-UA"/>
        </w:rPr>
        <w:t xml:space="preserve"> га</w:t>
      </w:r>
      <w:r w:rsidRPr="005C3962">
        <w:rPr>
          <w:rFonts w:ascii="Times New Roman" w:hAnsi="Times New Roman"/>
          <w:sz w:val="28"/>
          <w:szCs w:val="28"/>
        </w:rPr>
        <w:t xml:space="preserve">; </w:t>
      </w:r>
      <w:r w:rsidR="00FA12B6">
        <w:rPr>
          <w:rFonts w:ascii="Times New Roman" w:hAnsi="Times New Roman"/>
          <w:sz w:val="28"/>
          <w:szCs w:val="28"/>
          <w:lang w:val="uk-UA"/>
        </w:rPr>
        <w:lastRenderedPageBreak/>
        <w:t xml:space="preserve">кадастровий номер </w:t>
      </w:r>
      <w:r w:rsidRPr="005C3962">
        <w:rPr>
          <w:rFonts w:ascii="Times New Roman" w:hAnsi="Times New Roman"/>
          <w:sz w:val="28"/>
          <w:szCs w:val="28"/>
        </w:rPr>
        <w:t>8000000000:78:085:0025</w:t>
      </w:r>
      <w:r w:rsidR="00FA12B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5C3962">
        <w:rPr>
          <w:rFonts w:ascii="Times New Roman" w:hAnsi="Times New Roman"/>
          <w:sz w:val="28"/>
          <w:szCs w:val="28"/>
          <w:highlight w:val="white"/>
          <w:lang w:eastAsia="uk-UA"/>
        </w:rPr>
        <w:t>0,1009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5C3962">
        <w:rPr>
          <w:rFonts w:ascii="Times New Roman" w:hAnsi="Times New Roman"/>
          <w:sz w:val="28"/>
          <w:szCs w:val="28"/>
          <w:highlight w:val="white"/>
          <w:lang w:eastAsia="uk-UA"/>
        </w:rPr>
        <w:t>землі житлової та громадської забудови;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 xml:space="preserve">03.10;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524005730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7C1763B1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C52885">
        <w:rPr>
          <w:rFonts w:ascii="Times New Roman" w:hAnsi="Times New Roman"/>
          <w:sz w:val="28"/>
          <w:szCs w:val="28"/>
          <w:lang w:val="uk-UA"/>
        </w:rPr>
        <w:t>4.2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C52885">
        <w:rPr>
          <w:rFonts w:ascii="Times New Roman" w:hAnsi="Times New Roman"/>
          <w:sz w:val="28"/>
          <w:szCs w:val="28"/>
          <w:lang w:val="uk-UA"/>
        </w:rPr>
        <w:t>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</w:t>
      </w:r>
      <w:r w:rsidRPr="00C52885">
        <w:rPr>
          <w:rFonts w:ascii="Times New Roman" w:hAnsi="Times New Roman"/>
          <w:sz w:val="28"/>
          <w:szCs w:val="28"/>
          <w:lang w:val="uk-UA"/>
        </w:rPr>
        <w:t>земельн</w:t>
      </w:r>
      <w:r w:rsidR="00294B33">
        <w:rPr>
          <w:rFonts w:ascii="Times New Roman" w:hAnsi="Times New Roman"/>
          <w:sz w:val="28"/>
          <w:szCs w:val="28"/>
          <w:lang w:val="uk-UA"/>
        </w:rPr>
        <w:t>ої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294B33">
        <w:rPr>
          <w:rFonts w:ascii="Times New Roman" w:hAnsi="Times New Roman"/>
          <w:sz w:val="28"/>
          <w:szCs w:val="28"/>
          <w:lang w:val="uk-UA"/>
        </w:rPr>
        <w:t>и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 червня 2001 року № 78-6-00024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>, визначається на рівні мінімальних розмірів згідно з рішенням про бюджет міста Києва на відповідний рік.</w:t>
      </w:r>
    </w:p>
    <w:p w14:paraId="1E189D43" w14:textId="27602492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</w:t>
      </w:r>
      <w:r w:rsidRPr="00C52885">
        <w:rPr>
          <w:rFonts w:ascii="Times New Roman" w:hAnsi="Times New Roman"/>
          <w:sz w:val="28"/>
          <w:szCs w:val="28"/>
          <w:lang w:val="uk-UA"/>
        </w:rPr>
        <w:t>земельн</w:t>
      </w:r>
      <w:r w:rsidR="00294B33">
        <w:rPr>
          <w:rFonts w:ascii="Times New Roman" w:hAnsi="Times New Roman"/>
          <w:sz w:val="28"/>
          <w:szCs w:val="28"/>
          <w:lang w:val="uk-UA"/>
        </w:rPr>
        <w:t>ої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294B33">
        <w:rPr>
          <w:rFonts w:ascii="Times New Roman" w:hAnsi="Times New Roman"/>
          <w:sz w:val="28"/>
          <w:szCs w:val="28"/>
          <w:lang w:val="uk-UA"/>
        </w:rPr>
        <w:t>и</w:t>
      </w:r>
      <w:r w:rsidRPr="00C5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 червня 2001 року № 78-6-00024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</w:t>
      </w:r>
    </w:p>
    <w:p w14:paraId="0D0D9CFF" w14:textId="767C71EE" w:rsidR="00BB5AA4" w:rsidRPr="0036136D" w:rsidRDefault="0036136D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Pr="0036136D">
        <w:rPr>
          <w:rFonts w:ascii="Times New Roman" w:hAnsi="Times New Roman"/>
          <w:sz w:val="28"/>
          <w:szCs w:val="28"/>
          <w:lang w:val="uk-UA"/>
        </w:rPr>
        <w:t>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6136D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</w:t>
      </w:r>
      <w:r w:rsidR="00C72FE2" w:rsidRPr="0036136D">
        <w:rPr>
          <w:rFonts w:ascii="Times New Roman" w:hAnsi="Times New Roman"/>
          <w:sz w:val="28"/>
          <w:szCs w:val="28"/>
          <w:lang w:val="uk-UA"/>
        </w:rPr>
        <w:t>«СОЛІДАРНІСТЬ-ПЛЮС»</w:t>
      </w:r>
      <w:r w:rsidR="00BB5AA4" w:rsidRPr="0036136D">
        <w:rPr>
          <w:rFonts w:ascii="Times New Roman" w:hAnsi="Times New Roman"/>
          <w:sz w:val="28"/>
          <w:szCs w:val="28"/>
          <w:lang w:val="uk-UA"/>
        </w:rPr>
        <w:t>:</w:t>
      </w:r>
    </w:p>
    <w:p w14:paraId="76B9E28B" w14:textId="40895A60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C52885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оренди </w:t>
      </w:r>
      <w:r w:rsidR="00C72FE2" w:rsidRPr="0036136D">
        <w:rPr>
          <w:rFonts w:ascii="Times New Roman" w:hAnsi="Times New Roman"/>
          <w:sz w:val="28"/>
          <w:szCs w:val="28"/>
          <w:lang w:val="uk-UA"/>
        </w:rPr>
        <w:t>земельн</w:t>
      </w:r>
      <w:r w:rsidR="00294B33">
        <w:rPr>
          <w:rFonts w:ascii="Times New Roman" w:hAnsi="Times New Roman"/>
          <w:sz w:val="28"/>
          <w:szCs w:val="28"/>
          <w:lang w:val="uk-UA"/>
        </w:rPr>
        <w:t>ої</w:t>
      </w:r>
      <w:r w:rsidR="00C72FE2" w:rsidRPr="0036136D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294B33">
        <w:rPr>
          <w:rFonts w:ascii="Times New Roman" w:hAnsi="Times New Roman"/>
          <w:sz w:val="28"/>
          <w:szCs w:val="28"/>
          <w:lang w:val="uk-UA"/>
        </w:rPr>
        <w:t>и</w:t>
      </w:r>
      <w:r w:rsidR="00C72FE2" w:rsidRPr="003613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від 19 червня 2001 року</w:t>
      </w:r>
      <w:r w:rsidR="00C52885" w:rsidRPr="00C52885">
        <w:rPr>
          <w:rFonts w:ascii="Times New Roman" w:hAnsi="Times New Roman"/>
          <w:sz w:val="28"/>
          <w:szCs w:val="28"/>
          <w:lang w:val="uk-UA"/>
        </w:rPr>
        <w:br/>
      </w:r>
      <w:r w:rsidR="00C72FE2">
        <w:rPr>
          <w:rFonts w:ascii="Times New Roman" w:hAnsi="Times New Roman"/>
          <w:sz w:val="28"/>
          <w:szCs w:val="28"/>
          <w:lang w:val="uk-UA"/>
        </w:rPr>
        <w:t>№ 78-6-00024 (зі змінами) на новий строк.</w:t>
      </w:r>
    </w:p>
    <w:p w14:paraId="3BB59BEB" w14:textId="65C71976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</w:t>
      </w:r>
      <w:r w:rsidR="00C52885">
        <w:rPr>
          <w:rFonts w:ascii="Times New Roman" w:hAnsi="Times New Roman"/>
          <w:sz w:val="28"/>
          <w:szCs w:val="28"/>
          <w:lang w:val="uk-UA"/>
        </w:rPr>
        <w:t>их</w:t>
      </w:r>
      <w:r w:rsidRPr="00BB5AA4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C52885">
        <w:rPr>
          <w:rFonts w:ascii="Times New Roman" w:hAnsi="Times New Roman"/>
          <w:sz w:val="28"/>
          <w:szCs w:val="28"/>
          <w:lang w:val="uk-UA"/>
        </w:rPr>
        <w:t>о</w:t>
      </w:r>
      <w:r w:rsidRPr="00BB5AA4">
        <w:rPr>
          <w:rFonts w:ascii="Times New Roman" w:hAnsi="Times New Roman"/>
          <w:sz w:val="28"/>
          <w:szCs w:val="28"/>
          <w:lang w:val="uk-UA"/>
        </w:rPr>
        <w:t>к, визначених законодавством та зареєстрованих у Державному земельному кадастрі.</w:t>
      </w:r>
    </w:p>
    <w:p w14:paraId="5A8F2D75" w14:textId="64696AC1" w:rsid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</w:p>
    <w:p w14:paraId="10DB9956" w14:textId="778E5E89" w:rsidR="00D054E2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1" w:name="_Hlk203565938"/>
      <w:r w:rsidR="00D054E2">
        <w:rPr>
          <w:rFonts w:ascii="Times New Roman" w:hAnsi="Times New Roman"/>
          <w:sz w:val="28"/>
          <w:szCs w:val="28"/>
          <w:lang w:val="uk-UA"/>
        </w:rPr>
        <w:t>Визнати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 xml:space="preserve"> таким, що втратило чинність рішення Київської міської ради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br/>
        <w:t>від 2</w:t>
      </w:r>
      <w:r w:rsidR="00D054E2">
        <w:rPr>
          <w:rFonts w:ascii="Times New Roman" w:hAnsi="Times New Roman"/>
          <w:sz w:val="28"/>
          <w:szCs w:val="28"/>
          <w:lang w:val="uk-UA"/>
        </w:rPr>
        <w:t>3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4E2">
        <w:rPr>
          <w:rFonts w:ascii="Times New Roman" w:hAnsi="Times New Roman"/>
          <w:sz w:val="28"/>
          <w:szCs w:val="28"/>
          <w:lang w:val="uk-UA"/>
        </w:rPr>
        <w:t>червня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D054E2">
        <w:rPr>
          <w:rFonts w:ascii="Times New Roman" w:hAnsi="Times New Roman"/>
          <w:sz w:val="28"/>
          <w:szCs w:val="28"/>
          <w:lang w:val="uk-UA"/>
        </w:rPr>
        <w:t>22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D054E2">
        <w:rPr>
          <w:rFonts w:ascii="Times New Roman" w:hAnsi="Times New Roman"/>
          <w:sz w:val="28"/>
          <w:szCs w:val="28"/>
          <w:lang w:val="uk-UA"/>
        </w:rPr>
        <w:t>4872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>/</w:t>
      </w:r>
      <w:r w:rsidR="00D054E2">
        <w:rPr>
          <w:rFonts w:ascii="Times New Roman" w:hAnsi="Times New Roman"/>
          <w:sz w:val="28"/>
          <w:szCs w:val="28"/>
          <w:lang w:val="uk-UA"/>
        </w:rPr>
        <w:t>4913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D054E2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>змін</w:t>
      </w:r>
      <w:r w:rsidR="00D054E2">
        <w:rPr>
          <w:rFonts w:ascii="Times New Roman" w:hAnsi="Times New Roman"/>
          <w:sz w:val="28"/>
          <w:szCs w:val="28"/>
          <w:lang w:val="uk-UA"/>
        </w:rPr>
        <w:t xml:space="preserve"> до договору оренди земельних ділянок від 19 червня 2001 року № 78-6-00024 (зі змінами), укладеного між Київською міською радою та Товариством з обмеженою відповідальністю «СОЛІДАРНІСТЬ-ПЛЮС»</w:t>
      </w:r>
      <w:r w:rsidR="00D054E2" w:rsidRPr="00D054E2">
        <w:rPr>
          <w:rFonts w:ascii="Times New Roman" w:hAnsi="Times New Roman"/>
          <w:sz w:val="28"/>
          <w:szCs w:val="28"/>
          <w:lang w:val="uk-UA"/>
        </w:rPr>
        <w:t>» як таке, що нереалізоване.</w:t>
      </w:r>
      <w:bookmarkEnd w:id="1"/>
    </w:p>
    <w:p w14:paraId="5434EA6D" w14:textId="2462A47F" w:rsidR="00C72FE2" w:rsidRPr="0053324D" w:rsidRDefault="00D054E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2228A2E1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77777777" w:rsidR="00FF2729" w:rsidRPr="00547501" w:rsidRDefault="00FF2729" w:rsidP="00D36435">
      <w:pPr>
        <w:pStyle w:val="17"/>
        <w:ind w:right="482" w:hanging="142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D36435">
            <w:pPr>
              <w:spacing w:line="256" w:lineRule="auto"/>
              <w:ind w:left="-75" w:right="1599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0429A0DD" w:rsidR="00297004" w:rsidRDefault="00297004" w:rsidP="00D36435">
            <w:pPr>
              <w:ind w:left="-75" w:right="1599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Заступник голови</w:t>
            </w:r>
          </w:p>
          <w:p w14:paraId="7606C2A0" w14:textId="1F57A176" w:rsidR="00034DE5" w:rsidRPr="00547501" w:rsidRDefault="00297004" w:rsidP="00D36435">
            <w:pPr>
              <w:ind w:left="-75" w:right="1599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  <w:r w:rsidR="00D36435" w:rsidRPr="00D3643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Владислав 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D36435">
            <w:pPr>
              <w:spacing w:line="256" w:lineRule="auto"/>
              <w:ind w:left="-75" w:right="1599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68A2A37" w14:textId="42EBB150" w:rsidR="00034DE5" w:rsidRPr="00E80871" w:rsidRDefault="00CF38C1" w:rsidP="00D36435">
            <w:pPr>
              <w:spacing w:line="256" w:lineRule="auto"/>
              <w:ind w:left="-75" w:right="1599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ади</w:t>
            </w:r>
            <w:r w:rsidR="00D36435" w:rsidRPr="00D36435"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034DE5" w:rsidRPr="009E48B5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D36435">
            <w:pPr>
              <w:spacing w:line="256" w:lineRule="auto"/>
              <w:ind w:left="-75" w:right="103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3134EAF" w14:textId="3E6E1ECC" w:rsidR="00034DE5" w:rsidRPr="00E80871" w:rsidRDefault="00B87698" w:rsidP="00D36435">
            <w:pPr>
              <w:spacing w:line="256" w:lineRule="auto"/>
              <w:ind w:left="-75" w:right="1032"/>
              <w:outlineLvl w:val="0"/>
              <w:rPr>
                <w:snapToGrid w:val="0"/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>В.</w:t>
            </w:r>
            <w:r w:rsidR="0036136D">
              <w:rPr>
                <w:sz w:val="28"/>
                <w:szCs w:val="28"/>
                <w:lang w:val="uk-UA" w:eastAsia="en-US"/>
              </w:rPr>
              <w:t xml:space="preserve"> </w:t>
            </w:r>
            <w:r w:rsidRPr="00B87698">
              <w:rPr>
                <w:sz w:val="28"/>
                <w:szCs w:val="28"/>
                <w:lang w:val="uk-UA" w:eastAsia="en-US"/>
              </w:rPr>
              <w:t xml:space="preserve">о. начальника юридичного управління </w:t>
            </w:r>
            <w:r w:rsidR="001057BA"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  <w:r w:rsidR="00D36435" w:rsidRPr="0036136D">
              <w:rPr>
                <w:sz w:val="28"/>
                <w:szCs w:val="28"/>
                <w:lang w:val="uk-UA" w:eastAsia="en-US"/>
              </w:rPr>
              <w:t xml:space="preserve"> </w:t>
            </w:r>
            <w:r w:rsidR="001057BA"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  <w:r w:rsidR="00D36435" w:rsidRPr="0036136D">
              <w:rPr>
                <w:sz w:val="28"/>
                <w:szCs w:val="28"/>
                <w:lang w:val="uk-UA" w:eastAsia="en-US"/>
              </w:rPr>
              <w:t xml:space="preserve"> </w:t>
            </w:r>
            <w:r w:rsidR="001057BA"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  <w:r w:rsidR="009E48B5">
              <w:rPr>
                <w:sz w:val="28"/>
                <w:szCs w:val="28"/>
                <w:lang w:val="uk-UA" w:eastAsia="en-US"/>
              </w:rPr>
              <w:t xml:space="preserve">                                                                         </w:t>
            </w:r>
          </w:p>
        </w:tc>
        <w:tc>
          <w:tcPr>
            <w:tcW w:w="3827" w:type="dxa"/>
            <w:vAlign w:val="bottom"/>
            <w:hideMark/>
          </w:tcPr>
          <w:p w14:paraId="16BE49F2" w14:textId="4C2968BE" w:rsidR="00034DE5" w:rsidRPr="009E48B5" w:rsidRDefault="009E48B5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 xml:space="preserve">Віктор ДВОРНІКОВ 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4C0CF92E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>земельних відносин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6F33492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1D8A507C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>управління</w:t>
            </w:r>
          </w:p>
          <w:p w14:paraId="726052E7" w14:textId="5E3E6D80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правового забезпечення діяльності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511D233B" w14:textId="77777777" w:rsidR="0035033E" w:rsidRPr="005464BD" w:rsidRDefault="0035033E" w:rsidP="00D36435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1119904">
    <w:abstractNumId w:val="13"/>
  </w:num>
  <w:num w:numId="2" w16cid:durableId="345834095">
    <w:abstractNumId w:val="9"/>
  </w:num>
  <w:num w:numId="3" w16cid:durableId="2116362027">
    <w:abstractNumId w:val="12"/>
  </w:num>
  <w:num w:numId="4" w16cid:durableId="2083286567">
    <w:abstractNumId w:val="1"/>
  </w:num>
  <w:num w:numId="5" w16cid:durableId="1022129492">
    <w:abstractNumId w:val="10"/>
  </w:num>
  <w:num w:numId="6" w16cid:durableId="149369961">
    <w:abstractNumId w:val="8"/>
  </w:num>
  <w:num w:numId="7" w16cid:durableId="526064897">
    <w:abstractNumId w:val="5"/>
  </w:num>
  <w:num w:numId="8" w16cid:durableId="47456366">
    <w:abstractNumId w:val="2"/>
  </w:num>
  <w:num w:numId="9" w16cid:durableId="2078548115">
    <w:abstractNumId w:val="11"/>
  </w:num>
  <w:num w:numId="10" w16cid:durableId="371266160">
    <w:abstractNumId w:val="0"/>
  </w:num>
  <w:num w:numId="11" w16cid:durableId="466120951">
    <w:abstractNumId w:val="6"/>
  </w:num>
  <w:num w:numId="12" w16cid:durableId="1894123811">
    <w:abstractNumId w:val="4"/>
  </w:num>
  <w:num w:numId="13" w16cid:durableId="156383369">
    <w:abstractNumId w:val="3"/>
  </w:num>
  <w:num w:numId="14" w16cid:durableId="9302341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1162551253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787850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40209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B5F13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08C2"/>
    <w:rsid w:val="002940CC"/>
    <w:rsid w:val="00294B33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36D"/>
    <w:rsid w:val="003618FC"/>
    <w:rsid w:val="0036363A"/>
    <w:rsid w:val="00365C9E"/>
    <w:rsid w:val="00373CFF"/>
    <w:rsid w:val="0037601B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037D3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3962"/>
    <w:rsid w:val="005C5706"/>
    <w:rsid w:val="005C6107"/>
    <w:rsid w:val="005D0811"/>
    <w:rsid w:val="005E2FA9"/>
    <w:rsid w:val="005F1140"/>
    <w:rsid w:val="005F263C"/>
    <w:rsid w:val="006152A4"/>
    <w:rsid w:val="00615598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39C7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1EA0"/>
    <w:rsid w:val="007228C5"/>
    <w:rsid w:val="007479CA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2AE4"/>
    <w:rsid w:val="00946D94"/>
    <w:rsid w:val="00964497"/>
    <w:rsid w:val="00970F0B"/>
    <w:rsid w:val="00975CB0"/>
    <w:rsid w:val="00987502"/>
    <w:rsid w:val="009877BA"/>
    <w:rsid w:val="0099012E"/>
    <w:rsid w:val="009930BC"/>
    <w:rsid w:val="009B5545"/>
    <w:rsid w:val="009B64ED"/>
    <w:rsid w:val="009C0099"/>
    <w:rsid w:val="009D2582"/>
    <w:rsid w:val="009D7544"/>
    <w:rsid w:val="009E0D10"/>
    <w:rsid w:val="009E48B5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1660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85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054E2"/>
    <w:rsid w:val="00D100D5"/>
    <w:rsid w:val="00D204BE"/>
    <w:rsid w:val="00D23724"/>
    <w:rsid w:val="00D36435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B7D74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A12B6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4456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Абреу Олена Миколаївна</cp:lastModifiedBy>
  <cp:revision>6</cp:revision>
  <cp:lastPrinted>2025-10-23T12:44:00Z</cp:lastPrinted>
  <dcterms:created xsi:type="dcterms:W3CDTF">2025-10-16T11:43:00Z</dcterms:created>
  <dcterms:modified xsi:type="dcterms:W3CDTF">2025-12-30T11:16:00Z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