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34" w:rsidRPr="00214AFD" w:rsidRDefault="007C7234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0E7577" w:rsidRPr="00214AFD" w:rsidTr="000E7577">
        <w:tc>
          <w:tcPr>
            <w:tcW w:w="6663" w:type="dxa"/>
          </w:tcPr>
          <w:p w:rsidR="000E7577" w:rsidRPr="00214AFD" w:rsidRDefault="000E7577" w:rsidP="000E7577">
            <w:pPr>
              <w:ind w:left="74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4A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окремі питання передачі у власність та/або користування земельних ділянок комунальної власності у місті Києві фізичним особам та юридичним особам, які перебувають під прямим або опосередкованим контролем фізичних чи юридичних осіб російської федерації</w:t>
            </w:r>
          </w:p>
        </w:tc>
      </w:tr>
    </w:tbl>
    <w:p w:rsidR="00144FFF" w:rsidRPr="00214AFD" w:rsidRDefault="00144FFF" w:rsidP="000C4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7A7" w:rsidRPr="00214AFD" w:rsidRDefault="000C47A7" w:rsidP="000C4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5E60" w:rsidRPr="00214AFD" w:rsidRDefault="00E25E60" w:rsidP="000C47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Конституції України, законів України «Про місцеве самоврядування в Україні», «Про правовий режим воєнного стану»,</w:t>
      </w:r>
      <w:r w:rsidR="000F2A0A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основні засади при</w:t>
      </w:r>
      <w:r w:rsidR="00650516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мусового вилучення в Україні об’</w:t>
      </w:r>
      <w:r w:rsidR="000F2A0A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єктів права власності Російської Федерації та її резидентів»,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Указу Президента України </w:t>
      </w:r>
      <w:r w:rsidR="000C47A7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від 24 лютого 2022 року</w:t>
      </w:r>
      <w:r w:rsidR="000C47A7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</w:t>
      </w:r>
      <w:r w:rsidR="000C47A7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2102-ІХ», з метою захисту суверенітету і територіальної цілісності України, національних інтересів, національної безпеки, забезпечення її економічної самостійності, прав, свобод та законних інтересів громадян У</w:t>
      </w:r>
      <w:r w:rsidR="00D562E7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країни, суспільства та держави, 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вра</w:t>
      </w:r>
      <w:bookmarkStart w:id="0" w:name="_GoBack"/>
      <w:bookmarkEnd w:id="0"/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ховуючи повномасштабну агресивну війн</w:t>
      </w:r>
      <w:r w:rsidR="0098437F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у, яку російська ф</w:t>
      </w:r>
      <w:r w:rsidR="00D562E7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едерація розв’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язала і веде проти </w:t>
      </w:r>
      <w:r w:rsidR="00D562E7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України та Українського народу,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Київська міська рада</w:t>
      </w:r>
    </w:p>
    <w:p w:rsidR="00DB41F6" w:rsidRPr="00214AFD" w:rsidRDefault="00DB41F6" w:rsidP="000C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41F6" w:rsidRPr="00214AFD" w:rsidRDefault="000467F7" w:rsidP="000C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B41F6" w:rsidRPr="00214AFD" w:rsidRDefault="00DB41F6" w:rsidP="000E75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3336" w:rsidRPr="00214AFD" w:rsidRDefault="000C47A7" w:rsidP="000E7577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</w:t>
      </w:r>
      <w:r w:rsidR="00AA714B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 відновлення територіальної цілісності </w:t>
      </w:r>
      <w:r w:rsidR="00650516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714B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суверенітету України </w:t>
      </w: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фізичним та юридичним </w:t>
      </w:r>
      <w:r w:rsidR="00BF6E08" w:rsidRPr="00214AF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50516" w:rsidRPr="00214AFD">
        <w:rPr>
          <w:rFonts w:ascii="Times New Roman" w:hAnsi="Times New Roman" w:cs="Times New Roman"/>
          <w:sz w:val="28"/>
          <w:szCs w:val="28"/>
          <w:lang w:val="uk-UA"/>
        </w:rPr>
        <w:t>собам, з</w:t>
      </w:r>
      <w:r w:rsidR="00023336"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ацікавленим 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у набутті у власність або отриманні в користування </w:t>
      </w:r>
      <w:r w:rsidR="00023336" w:rsidRPr="00214AFD">
        <w:rPr>
          <w:rFonts w:ascii="Times New Roman" w:hAnsi="Times New Roman" w:cs="Times New Roman"/>
          <w:sz w:val="28"/>
          <w:szCs w:val="28"/>
          <w:lang w:val="uk-UA"/>
        </w:rPr>
        <w:t>земельних ді</w:t>
      </w:r>
      <w:r w:rsidR="00512C0D" w:rsidRPr="00214AFD">
        <w:rPr>
          <w:rFonts w:ascii="Times New Roman" w:hAnsi="Times New Roman" w:cs="Times New Roman"/>
          <w:sz w:val="28"/>
          <w:szCs w:val="28"/>
          <w:lang w:val="uk-UA"/>
        </w:rPr>
        <w:t>лянок комунальної власності у місті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Києві </w:t>
      </w:r>
      <w:r w:rsidR="004E265C"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подавати до </w:t>
      </w:r>
      <w:r w:rsidR="004E265C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Департаменту земельних ресурсів виконавчого органу Київської міської ради (Київської міської державної адміністрації) листи </w:t>
      </w:r>
      <w:r w:rsidR="000A0DF0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щодо</w:t>
      </w:r>
      <w:r w:rsidR="00AD2720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відсутності 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>перебува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під прямим або опосередкованим контролем фізичних чи юридичних осіб російської федерації</w:t>
      </w:r>
      <w:r w:rsidR="004E265C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C47A7" w:rsidRPr="00214AFD" w:rsidRDefault="000C47A7" w:rsidP="000E75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BF6E08" w:rsidRPr="00214AFD" w:rsidRDefault="00BF6E08" w:rsidP="000E75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</w:t>
      </w:r>
      <w:r w:rsidR="007312E8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="004E1B3C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Департаменту </w:t>
      </w:r>
      <w:r w:rsidR="00023336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земельних ресурсів</w:t>
      </w:r>
      <w:r w:rsidR="004E1B3C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виконавчого органу Київської міської ради (Київської міської державної адміністрації) </w:t>
      </w:r>
      <w:r w:rsidR="00023336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при підготовці відповідних </w:t>
      </w:r>
      <w:proofErr w:type="spellStart"/>
      <w:r w:rsidR="00023336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проєктів</w:t>
      </w:r>
      <w:proofErr w:type="spellEnd"/>
      <w:r w:rsidR="00023336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рішень Київської міської ради</w:t>
      </w:r>
      <w:r w:rsidR="00592CE1"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</w:t>
      </w:r>
      <w:r w:rsidR="000C47A7" w:rsidRPr="00214AFD">
        <w:rPr>
          <w:rFonts w:ascii="Times New Roman" w:hAnsi="Times New Roman" w:cs="Times New Roman"/>
          <w:sz w:val="28"/>
          <w:szCs w:val="28"/>
          <w:lang w:val="uk-UA"/>
        </w:rPr>
        <w:t>у власність або користування земельних ділянок комунальної власності територіальної громади міста Києва</w:t>
      </w:r>
      <w:r w:rsidR="00650516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перевіряти інформацію </w:t>
      </w:r>
      <w:r w:rsidR="000C47A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щодо належності заявника (кінцевих </w:t>
      </w:r>
      <w:proofErr w:type="spellStart"/>
      <w:r w:rsidR="000C47A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бенефіціарних</w:t>
      </w:r>
      <w:proofErr w:type="spellEnd"/>
      <w:r w:rsidR="000C47A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власників заявника) до </w:t>
      </w:r>
      <w:proofErr w:type="spellStart"/>
      <w:r w:rsidR="000C47A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резидентства</w:t>
      </w:r>
      <w:proofErr w:type="spellEnd"/>
      <w:r w:rsidR="000C47A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російської федерації, </w:t>
      </w:r>
      <w:r w:rsidR="004D299E" w:rsidRPr="00214AFD">
        <w:rPr>
          <w:rFonts w:ascii="Times New Roman" w:hAnsi="Times New Roman" w:cs="Times New Roman"/>
          <w:sz w:val="28"/>
          <w:szCs w:val="28"/>
          <w:lang w:val="uk-UA"/>
        </w:rPr>
        <w:t>перебува</w:t>
      </w:r>
      <w:r w:rsidR="000E7577"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ння заявника 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>під прямим чи опосередкованим контролем фізичних чи юридичних осіб російської федерації</w:t>
      </w:r>
      <w:r w:rsidR="000E7577" w:rsidRPr="00214A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7A7" w:rsidRPr="00214AFD" w:rsidRDefault="000C47A7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0E7577" w:rsidRPr="00214AFD" w:rsidRDefault="00BF6E08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</w:t>
      </w:r>
      <w:r w:rsidR="00662089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>В</w:t>
      </w:r>
      <w:r w:rsidR="00832F12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иявлення фактів щодо 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належності заявника (кінцевих </w:t>
      </w:r>
      <w:proofErr w:type="spellStart"/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бенефіціарних</w:t>
      </w:r>
      <w:proofErr w:type="spellEnd"/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власників заявника) до </w:t>
      </w:r>
      <w:proofErr w:type="spellStart"/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резидентства</w:t>
      </w:r>
      <w:proofErr w:type="spellEnd"/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російської федерації, </w:t>
      </w:r>
      <w:r w:rsidR="000E7577" w:rsidRPr="00214AFD">
        <w:rPr>
          <w:rFonts w:ascii="Times New Roman" w:hAnsi="Times New Roman" w:cs="Times New Roman"/>
          <w:sz w:val="28"/>
          <w:szCs w:val="28"/>
          <w:lang w:val="uk-UA"/>
        </w:rPr>
        <w:t>перебування заявника під прямим чи опосередкованим контролем фізичних чи юридичних осіб російської федерації</w:t>
      </w:r>
      <w:r w:rsidR="000E7577"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має наслідком:</w:t>
      </w:r>
    </w:p>
    <w:p w:rsidR="000E7577" w:rsidRPr="00214AFD" w:rsidRDefault="000E7577" w:rsidP="000E7577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FD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ab/>
        <w:t>відмову Київської міської ради у наданні земельних ділянок комунальної власності територіальної громади міста Києва у власність та/або користування.</w:t>
      </w:r>
    </w:p>
    <w:p w:rsidR="000E7577" w:rsidRPr="00214AFD" w:rsidRDefault="000E7577" w:rsidP="000E7577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FD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ab/>
        <w:t>припинення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права власності та/або користування 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>земельни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>ками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територіальної громади міста Києва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порядку.</w:t>
      </w:r>
    </w:p>
    <w:p w:rsidR="000E7577" w:rsidRPr="00214AFD" w:rsidRDefault="000E7577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0E7577" w:rsidRPr="00214AFD" w:rsidRDefault="00214AFD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4.</w:t>
      </w: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Розгляд </w:t>
      </w:r>
      <w:proofErr w:type="spellStart"/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проєктів</w:t>
      </w:r>
      <w:proofErr w:type="spellEnd"/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рішень Київської міської ради щодо передачі у власність та/або користування земельних ділянок фізичним та/або юридичним особам, до яких у відповідності до Закону України «Про санкції» Указом Президента України на підставі рішення Ради національної безпеки та оборони України застосовано санкції</w:t>
      </w: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здійснюється після інформування </w:t>
      </w: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Київською міською радою 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Апарату 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Ради національної безпеки та оборони України</w:t>
      </w: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отримання відповідного роз’яснення.</w:t>
      </w:r>
    </w:p>
    <w:p w:rsidR="000E7577" w:rsidRPr="00214AFD" w:rsidRDefault="000E7577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214AFD" w:rsidRPr="00214AFD" w:rsidRDefault="00214AFD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214AF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5.</w:t>
      </w:r>
      <w:r w:rsidRPr="00214AF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  <w:t xml:space="preserve">Розмір орендної плати за договорами оренди земельних ділянок суб’єктами, передбаченими пунктом 4 цього рішення, встановлюється на рівні 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12 відсотків нормативної грошової оцінки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 виключенням випадку, передбаченого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підпунктом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288.5.3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ункту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288.5 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атті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288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Податкового кодексу України, для якого такий розмір орендної плати встановлюється на рівні 24 </w:t>
      </w:r>
      <w:r w:rsidRPr="00214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відсотків нормативної грошової оцінки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14AFD" w:rsidRPr="00214AFD" w:rsidRDefault="00214AFD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0E7577" w:rsidRPr="00214AFD" w:rsidRDefault="00214AFD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6</w:t>
      </w:r>
      <w:r w:rsidR="000B215E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>Оприлюднити це рішення у спосіб, передбачений законодавством України.</w:t>
      </w:r>
    </w:p>
    <w:p w:rsidR="000E7577" w:rsidRPr="00214AFD" w:rsidRDefault="000E7577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0B215E" w:rsidRPr="00214AFD" w:rsidRDefault="00214AFD" w:rsidP="000E75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7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0E7577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="000B215E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0B215E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містопланування</w:t>
      </w:r>
      <w:proofErr w:type="spellEnd"/>
      <w:r w:rsidR="000B215E" w:rsidRPr="00214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земельних відносин.</w:t>
      </w:r>
    </w:p>
    <w:p w:rsidR="000B215E" w:rsidRPr="00214AFD" w:rsidRDefault="000B215E" w:rsidP="000C47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215E" w:rsidRPr="00214AFD" w:rsidRDefault="000B215E" w:rsidP="000C47A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0E7577" w:rsidRPr="00214AFD" w:rsidRDefault="00EE59B7" w:rsidP="00214AF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14AFD">
        <w:rPr>
          <w:rFonts w:ascii="Times New Roman" w:hAnsi="Times New Roman" w:cs="Times New Roman"/>
          <w:sz w:val="28"/>
          <w:szCs w:val="28"/>
          <w:lang w:val="uk-UA"/>
        </w:rPr>
        <w:t>Київський міський голова</w:t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4AFD"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  <w:r w:rsidR="000E7577" w:rsidRPr="00214AFD"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:rsidR="00531A31" w:rsidRPr="00214AFD" w:rsidRDefault="00531A31" w:rsidP="000C4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14A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ПОДАННЯ:</w:t>
      </w:r>
    </w:p>
    <w:p w:rsidR="000C47A7" w:rsidRPr="00214AFD" w:rsidRDefault="000C47A7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31A31" w:rsidRPr="00214AFD" w:rsidRDefault="00185FBE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21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Депутати Київської міської ради</w:t>
      </w: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E7577" w:rsidRPr="00214AFD" w:rsidRDefault="000E7577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E7577" w:rsidRPr="00214AFD" w:rsidRDefault="000E7577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E7577" w:rsidRPr="00214AFD" w:rsidRDefault="000E7577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14A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ПОГОДЖЕНО:</w:t>
      </w:r>
    </w:p>
    <w:p w:rsidR="00185FBE" w:rsidRPr="00214AFD" w:rsidRDefault="00185FBE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0C47A7" w:rsidRPr="00214AFD" w:rsidRDefault="00185FBE" w:rsidP="000C47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Постійна комісія Київської міської</w:t>
      </w:r>
      <w:r w:rsidR="000C47A7"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ради</w:t>
      </w:r>
    </w:p>
    <w:p w:rsidR="00185FBE" w:rsidRPr="00214AFD" w:rsidRDefault="00185FBE" w:rsidP="000C47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архітектури, </w:t>
      </w:r>
      <w:proofErr w:type="spellStart"/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містопланування</w:t>
      </w:r>
      <w:proofErr w:type="spellEnd"/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85FBE" w:rsidRPr="00214AFD" w:rsidRDefault="00185FBE" w:rsidP="000C47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та земельних відносин</w:t>
      </w:r>
    </w:p>
    <w:p w:rsidR="00185FBE" w:rsidRPr="00214AFD" w:rsidRDefault="00185FBE" w:rsidP="000C47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5FBE" w:rsidRPr="00214AFD" w:rsidRDefault="00185FBE" w:rsidP="000E7577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Голова</w:t>
      </w: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14AFD">
        <w:rPr>
          <w:rFonts w:ascii="Times New Roman" w:eastAsia="Calibri" w:hAnsi="Times New Roman" w:cs="Times New Roman"/>
          <w:sz w:val="28"/>
          <w:szCs w:val="28"/>
          <w:lang w:val="uk-UA"/>
        </w:rPr>
        <w:t>Михайло ТЕРЕНТЬЄВ</w:t>
      </w:r>
    </w:p>
    <w:p w:rsidR="00185FBE" w:rsidRPr="00214AFD" w:rsidRDefault="00185FBE" w:rsidP="000E7577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Начальник </w:t>
      </w:r>
      <w:r w:rsidR="00A12863"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правління правового </w:t>
      </w:r>
    </w:p>
    <w:p w:rsidR="00531A31" w:rsidRPr="00214AFD" w:rsidRDefault="00A12863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="00531A31"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абезпечення діяльності </w:t>
      </w:r>
    </w:p>
    <w:p w:rsidR="00531A31" w:rsidRPr="00214AFD" w:rsidRDefault="00531A31" w:rsidP="000C4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Київської міської ради</w:t>
      </w: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14AF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Валентина ПОЛОЖИШНИК</w:t>
      </w:r>
    </w:p>
    <w:sectPr w:rsidR="00531A31" w:rsidRPr="00214AFD" w:rsidSect="000C47A7">
      <w:headerReference w:type="default" r:id="rId8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18" w:rsidRDefault="009C0118" w:rsidP="00F84217">
      <w:pPr>
        <w:spacing w:after="0" w:line="240" w:lineRule="auto"/>
      </w:pPr>
      <w:r>
        <w:separator/>
      </w:r>
    </w:p>
  </w:endnote>
  <w:endnote w:type="continuationSeparator" w:id="0">
    <w:p w:rsidR="009C0118" w:rsidRDefault="009C0118" w:rsidP="00F8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18" w:rsidRDefault="009C0118" w:rsidP="00F84217">
      <w:pPr>
        <w:spacing w:after="0" w:line="240" w:lineRule="auto"/>
      </w:pPr>
      <w:r>
        <w:separator/>
      </w:r>
    </w:p>
  </w:footnote>
  <w:footnote w:type="continuationSeparator" w:id="0">
    <w:p w:rsidR="009C0118" w:rsidRDefault="009C0118" w:rsidP="00F8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217" w:rsidRDefault="00F842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A5E"/>
    <w:multiLevelType w:val="hybridMultilevel"/>
    <w:tmpl w:val="C3D0A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AE9"/>
    <w:multiLevelType w:val="hybridMultilevel"/>
    <w:tmpl w:val="64E669B6"/>
    <w:lvl w:ilvl="0" w:tplc="FC4C79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9083F"/>
    <w:multiLevelType w:val="hybridMultilevel"/>
    <w:tmpl w:val="FACACFB4"/>
    <w:lvl w:ilvl="0" w:tplc="7A3E1D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933F37"/>
    <w:multiLevelType w:val="hybridMultilevel"/>
    <w:tmpl w:val="D4E88952"/>
    <w:lvl w:ilvl="0" w:tplc="7A3E1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67B2"/>
    <w:multiLevelType w:val="hybridMultilevel"/>
    <w:tmpl w:val="90C44B04"/>
    <w:lvl w:ilvl="0" w:tplc="1BE81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380E"/>
    <w:multiLevelType w:val="hybridMultilevel"/>
    <w:tmpl w:val="D54691F8"/>
    <w:lvl w:ilvl="0" w:tplc="7DFA5A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315A1D"/>
    <w:multiLevelType w:val="hybridMultilevel"/>
    <w:tmpl w:val="A3F0D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056CD3"/>
    <w:multiLevelType w:val="hybridMultilevel"/>
    <w:tmpl w:val="58F88E74"/>
    <w:lvl w:ilvl="0" w:tplc="83503E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9352DE"/>
    <w:multiLevelType w:val="hybridMultilevel"/>
    <w:tmpl w:val="0ACC9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41D8E"/>
    <w:multiLevelType w:val="hybridMultilevel"/>
    <w:tmpl w:val="D9DA36F4"/>
    <w:lvl w:ilvl="0" w:tplc="1D78E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B5655C"/>
    <w:multiLevelType w:val="hybridMultilevel"/>
    <w:tmpl w:val="805E3D52"/>
    <w:lvl w:ilvl="0" w:tplc="C712B454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C2A509D"/>
    <w:multiLevelType w:val="hybridMultilevel"/>
    <w:tmpl w:val="297CF790"/>
    <w:lvl w:ilvl="0" w:tplc="EB3299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C412F"/>
    <w:multiLevelType w:val="hybridMultilevel"/>
    <w:tmpl w:val="56E4F758"/>
    <w:lvl w:ilvl="0" w:tplc="FC4C79C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ACC3EB7"/>
    <w:multiLevelType w:val="hybridMultilevel"/>
    <w:tmpl w:val="536CDB1A"/>
    <w:lvl w:ilvl="0" w:tplc="FC4C79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5"/>
  </w:num>
  <w:num w:numId="8">
    <w:abstractNumId w:val="3"/>
  </w:num>
  <w:num w:numId="9">
    <w:abstractNumId w:val="3"/>
  </w:num>
  <w:num w:numId="10">
    <w:abstractNumId w:val="13"/>
  </w:num>
  <w:num w:numId="11">
    <w:abstractNumId w:val="2"/>
  </w:num>
  <w:num w:numId="12">
    <w:abstractNumId w:val="2"/>
  </w:num>
  <w:num w:numId="13">
    <w:abstractNumId w:val="1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F6"/>
    <w:rsid w:val="00010AA2"/>
    <w:rsid w:val="00023336"/>
    <w:rsid w:val="000467F7"/>
    <w:rsid w:val="00050F03"/>
    <w:rsid w:val="00064542"/>
    <w:rsid w:val="00074204"/>
    <w:rsid w:val="000A0DF0"/>
    <w:rsid w:val="000A78FC"/>
    <w:rsid w:val="000B215E"/>
    <w:rsid w:val="000B63A1"/>
    <w:rsid w:val="000C2B09"/>
    <w:rsid w:val="000C2D8E"/>
    <w:rsid w:val="000C47A7"/>
    <w:rsid w:val="000E7577"/>
    <w:rsid w:val="000F1404"/>
    <w:rsid w:val="000F2A0A"/>
    <w:rsid w:val="0011060D"/>
    <w:rsid w:val="001275A0"/>
    <w:rsid w:val="00130BE2"/>
    <w:rsid w:val="00144FFF"/>
    <w:rsid w:val="00145205"/>
    <w:rsid w:val="0014752B"/>
    <w:rsid w:val="00153ED8"/>
    <w:rsid w:val="00171AB5"/>
    <w:rsid w:val="00185FBE"/>
    <w:rsid w:val="001A1890"/>
    <w:rsid w:val="001C7539"/>
    <w:rsid w:val="001D66FB"/>
    <w:rsid w:val="00206E1D"/>
    <w:rsid w:val="00212116"/>
    <w:rsid w:val="00214AFD"/>
    <w:rsid w:val="00232782"/>
    <w:rsid w:val="00254513"/>
    <w:rsid w:val="0026113A"/>
    <w:rsid w:val="002821D9"/>
    <w:rsid w:val="00287C67"/>
    <w:rsid w:val="002A7EFD"/>
    <w:rsid w:val="002C44ED"/>
    <w:rsid w:val="002D1B18"/>
    <w:rsid w:val="0032787B"/>
    <w:rsid w:val="0033412D"/>
    <w:rsid w:val="00334745"/>
    <w:rsid w:val="00360A41"/>
    <w:rsid w:val="003852DD"/>
    <w:rsid w:val="003A7754"/>
    <w:rsid w:val="003C6393"/>
    <w:rsid w:val="003D7EF1"/>
    <w:rsid w:val="003E3E53"/>
    <w:rsid w:val="003F5F33"/>
    <w:rsid w:val="00436D19"/>
    <w:rsid w:val="004570F9"/>
    <w:rsid w:val="004674AC"/>
    <w:rsid w:val="00482D5E"/>
    <w:rsid w:val="00496A8B"/>
    <w:rsid w:val="004D299E"/>
    <w:rsid w:val="004E1B3C"/>
    <w:rsid w:val="004E265C"/>
    <w:rsid w:val="004E5330"/>
    <w:rsid w:val="004F78E0"/>
    <w:rsid w:val="00510710"/>
    <w:rsid w:val="005110A6"/>
    <w:rsid w:val="00512C0D"/>
    <w:rsid w:val="0052187D"/>
    <w:rsid w:val="00526B64"/>
    <w:rsid w:val="00531A31"/>
    <w:rsid w:val="00535865"/>
    <w:rsid w:val="005432F8"/>
    <w:rsid w:val="005620F3"/>
    <w:rsid w:val="00582E42"/>
    <w:rsid w:val="00584AC6"/>
    <w:rsid w:val="00592CE1"/>
    <w:rsid w:val="005A3DF9"/>
    <w:rsid w:val="005D0EE3"/>
    <w:rsid w:val="005D74A3"/>
    <w:rsid w:val="005E1E41"/>
    <w:rsid w:val="005F2671"/>
    <w:rsid w:val="005F5F83"/>
    <w:rsid w:val="006138EE"/>
    <w:rsid w:val="00615022"/>
    <w:rsid w:val="00616B2C"/>
    <w:rsid w:val="00643E74"/>
    <w:rsid w:val="00650516"/>
    <w:rsid w:val="0066018D"/>
    <w:rsid w:val="00662089"/>
    <w:rsid w:val="0066421A"/>
    <w:rsid w:val="00677003"/>
    <w:rsid w:val="00682D3B"/>
    <w:rsid w:val="006B75FE"/>
    <w:rsid w:val="006C5AD6"/>
    <w:rsid w:val="006C710D"/>
    <w:rsid w:val="006D37F9"/>
    <w:rsid w:val="006F7C1F"/>
    <w:rsid w:val="007044E6"/>
    <w:rsid w:val="00712A53"/>
    <w:rsid w:val="007232CC"/>
    <w:rsid w:val="007312E8"/>
    <w:rsid w:val="00732713"/>
    <w:rsid w:val="007439AA"/>
    <w:rsid w:val="00775FF2"/>
    <w:rsid w:val="007A110D"/>
    <w:rsid w:val="007A3D25"/>
    <w:rsid w:val="007A7AFF"/>
    <w:rsid w:val="007C7234"/>
    <w:rsid w:val="007D3B79"/>
    <w:rsid w:val="00811468"/>
    <w:rsid w:val="00832F12"/>
    <w:rsid w:val="0084190D"/>
    <w:rsid w:val="00843BD1"/>
    <w:rsid w:val="00874F44"/>
    <w:rsid w:val="00890B51"/>
    <w:rsid w:val="00892503"/>
    <w:rsid w:val="00897BB4"/>
    <w:rsid w:val="008A08E9"/>
    <w:rsid w:val="008A138E"/>
    <w:rsid w:val="008A269F"/>
    <w:rsid w:val="008B1C90"/>
    <w:rsid w:val="008B5ED3"/>
    <w:rsid w:val="008C0A82"/>
    <w:rsid w:val="008E1F08"/>
    <w:rsid w:val="008F2FA2"/>
    <w:rsid w:val="00901D0B"/>
    <w:rsid w:val="00907061"/>
    <w:rsid w:val="00922FEF"/>
    <w:rsid w:val="00924C8D"/>
    <w:rsid w:val="00937775"/>
    <w:rsid w:val="00940BC2"/>
    <w:rsid w:val="009503F7"/>
    <w:rsid w:val="009526FD"/>
    <w:rsid w:val="00971324"/>
    <w:rsid w:val="0098437F"/>
    <w:rsid w:val="0099601C"/>
    <w:rsid w:val="009C0118"/>
    <w:rsid w:val="009C2B28"/>
    <w:rsid w:val="009C4436"/>
    <w:rsid w:val="009D30F4"/>
    <w:rsid w:val="009E0310"/>
    <w:rsid w:val="009E0ECA"/>
    <w:rsid w:val="00A115DC"/>
    <w:rsid w:val="00A12863"/>
    <w:rsid w:val="00A269DE"/>
    <w:rsid w:val="00A75A99"/>
    <w:rsid w:val="00AA5065"/>
    <w:rsid w:val="00AA714B"/>
    <w:rsid w:val="00AC122F"/>
    <w:rsid w:val="00AD2720"/>
    <w:rsid w:val="00AD3D4E"/>
    <w:rsid w:val="00AD5FBA"/>
    <w:rsid w:val="00AF629A"/>
    <w:rsid w:val="00B347BC"/>
    <w:rsid w:val="00B6243A"/>
    <w:rsid w:val="00B715E6"/>
    <w:rsid w:val="00B76A88"/>
    <w:rsid w:val="00B76D65"/>
    <w:rsid w:val="00BA2E96"/>
    <w:rsid w:val="00BA2F15"/>
    <w:rsid w:val="00BB3E35"/>
    <w:rsid w:val="00BD184C"/>
    <w:rsid w:val="00BF26F3"/>
    <w:rsid w:val="00BF6E08"/>
    <w:rsid w:val="00C214A2"/>
    <w:rsid w:val="00C76633"/>
    <w:rsid w:val="00CA7909"/>
    <w:rsid w:val="00CE7AF6"/>
    <w:rsid w:val="00CF5CC6"/>
    <w:rsid w:val="00CF7ADE"/>
    <w:rsid w:val="00D0716E"/>
    <w:rsid w:val="00D1371B"/>
    <w:rsid w:val="00D166EB"/>
    <w:rsid w:val="00D23EAD"/>
    <w:rsid w:val="00D34C84"/>
    <w:rsid w:val="00D50BA8"/>
    <w:rsid w:val="00D562E7"/>
    <w:rsid w:val="00D632FB"/>
    <w:rsid w:val="00D65086"/>
    <w:rsid w:val="00DB41F6"/>
    <w:rsid w:val="00DE0F1B"/>
    <w:rsid w:val="00DE4BCF"/>
    <w:rsid w:val="00DF071C"/>
    <w:rsid w:val="00DF6CCF"/>
    <w:rsid w:val="00E02E6E"/>
    <w:rsid w:val="00E109E7"/>
    <w:rsid w:val="00E25E60"/>
    <w:rsid w:val="00E47678"/>
    <w:rsid w:val="00E5259D"/>
    <w:rsid w:val="00E60E55"/>
    <w:rsid w:val="00E803EA"/>
    <w:rsid w:val="00E87D54"/>
    <w:rsid w:val="00EA2A32"/>
    <w:rsid w:val="00EB15D6"/>
    <w:rsid w:val="00EE59B7"/>
    <w:rsid w:val="00EE5A5B"/>
    <w:rsid w:val="00EF27A8"/>
    <w:rsid w:val="00F17068"/>
    <w:rsid w:val="00F2191B"/>
    <w:rsid w:val="00F27E59"/>
    <w:rsid w:val="00F816D3"/>
    <w:rsid w:val="00F84217"/>
    <w:rsid w:val="00F87777"/>
    <w:rsid w:val="00F960FE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8591"/>
  <w15:docId w15:val="{E5084650-5E79-4F07-865A-F039642B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890"/>
  </w:style>
  <w:style w:type="paragraph" w:styleId="2">
    <w:name w:val="heading 2"/>
    <w:basedOn w:val="a"/>
    <w:link w:val="20"/>
    <w:qFormat/>
    <w:rsid w:val="00DF0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1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F0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67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4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B1C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84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84217"/>
  </w:style>
  <w:style w:type="paragraph" w:styleId="ab">
    <w:name w:val="footer"/>
    <w:basedOn w:val="a"/>
    <w:link w:val="ac"/>
    <w:uiPriority w:val="99"/>
    <w:unhideWhenUsed/>
    <w:rsid w:val="00F84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8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850D-18D9-42FD-98AA-88FEF67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Олена</dc:creator>
  <cp:lastModifiedBy>Володимир В. Бондаренко</cp:lastModifiedBy>
  <cp:revision>6</cp:revision>
  <cp:lastPrinted>2024-05-20T10:17:00Z</cp:lastPrinted>
  <dcterms:created xsi:type="dcterms:W3CDTF">2024-04-17T12:40:00Z</dcterms:created>
  <dcterms:modified xsi:type="dcterms:W3CDTF">2024-05-20T10:24:00Z</dcterms:modified>
</cp:coreProperties>
</file>