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69D02FE4" w:rsidR="001B08ED" w:rsidRPr="00E414C3" w:rsidRDefault="00830621" w:rsidP="00E414C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="0098456F" w:rsidRPr="00E414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0DD9F7F3" w14:textId="03311907" w:rsidR="008669F2" w:rsidRPr="00CC64EE" w:rsidRDefault="0098456F" w:rsidP="00130D8F">
      <w:pPr>
        <w:pStyle w:val="2"/>
        <w:shd w:val="clear" w:color="auto" w:fill="FFFFFF"/>
        <w:spacing w:before="0" w:after="0" w:line="240" w:lineRule="auto"/>
        <w:ind w:firstLine="567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669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 w:rsidRPr="008669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F47C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 w:rsidRPr="008669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8669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 Київської міської ради </w:t>
      </w:r>
      <w:r w:rsidR="00130D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Start w:id="0" w:name="_Hlk192170722"/>
      <w:r w:rsidR="00130D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до рішення Київської міської ради від 10.11.2022 № 5586/5627 «Про деякі питання підготовки житлового фонду міста Києва до проходження зимового періоду в умовах воєнного стану»</w:t>
      </w:r>
      <w:bookmarkEnd w:id="0"/>
      <w:r w:rsidR="00130D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(зі змінами і доповненнями)</w:t>
      </w:r>
    </w:p>
    <w:p w14:paraId="00000002" w14:textId="7E09CC9C" w:rsidR="001B08ED" w:rsidRPr="008669F2" w:rsidRDefault="001B08ED" w:rsidP="00E414C3">
      <w:pPr>
        <w:pStyle w:val="2"/>
        <w:shd w:val="clear" w:color="auto" w:fill="FFFFFF"/>
        <w:spacing w:before="0" w:after="0" w:line="240" w:lineRule="auto"/>
        <w:ind w:firstLine="567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3" w14:textId="63F531E3" w:rsidR="001B08ED" w:rsidRDefault="0098456F" w:rsidP="00CC64EE">
      <w:pPr>
        <w:pStyle w:val="a8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C64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рішення.</w:t>
      </w:r>
    </w:p>
    <w:p w14:paraId="5087BC03" w14:textId="77777777" w:rsidR="000B012E" w:rsidRPr="008520DE" w:rsidRDefault="000B012E" w:rsidP="008520DE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0ADF89" w14:textId="77777777" w:rsidR="00012907" w:rsidRDefault="00012907" w:rsidP="000129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414C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E414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підготовлено 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популяризації альтернативних джерел енергії, декарбонізації, зменшення споживання електричної енергії  </w:t>
      </w:r>
      <w:r w:rsidRP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об’єднан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нями</w:t>
      </w:r>
      <w:r w:rsidRP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співвласників багатоквартирних житлових будинків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Виділення окремої компенсації за встановлення сонячних електростанцій дасть змогу </w:t>
      </w:r>
      <w:r w:rsidRP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об’єднан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ням</w:t>
      </w:r>
      <w:r w:rsidRP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співвласників багатоквартирних житлових будинків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оптимізувати свої витрати та більше ефективно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стійко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проходити виклики спричинення воєнним станом. </w:t>
      </w:r>
    </w:p>
    <w:p w14:paraId="6B2E8D24" w14:textId="51913DDF" w:rsidR="00012907" w:rsidRPr="00171B8D" w:rsidRDefault="00012907" w:rsidP="000129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результатами консультацій з громадськістю, яка буде безпосереднім учасником з використання інструменту запропонованих змін, для багатоповерхових будинків, мінімально, потрібно сонячну електростанцію (далі – СЕС) з 30 кВт генерацією. Рівень спроможності забезпечити акумуляцію, буде залежати безпосередньо від фінансових можливостей власників кожного будинку. Спираючись на досвід заявок від ОСББ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отримання кредитів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позик від КП «Фонд модернізації та розвитку житлового фонду міста Києва» на встановлення СЕС,  середня вартість подібних СЕС складає орієнтовно</w:t>
      </w:r>
      <w:r w:rsidR="005D47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D47FF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bookmarkStart w:id="1" w:name="_GoBack"/>
      <w:bookmarkEnd w:id="1"/>
      <w:r w:rsidR="005D47FF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,2 млн грн. </w:t>
      </w:r>
    </w:p>
    <w:p w14:paraId="73E9A060" w14:textId="6BE52A36" w:rsidR="00012907" w:rsidRDefault="00012907" w:rsidP="000129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Наявність компенсацій за встановлення СЕС, у розмірі не </w:t>
      </w:r>
      <w:r w:rsidR="005D47FF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більше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D47FF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600 тис. грн, буде формувати позитивну і цілеспрямовану мотивацію у власників багатоквартирних будинків, для оснащення своїх будинків системами СЕС та зменшення використання енергетичних ресурсів на потреби будинку. </w:t>
      </w:r>
    </w:p>
    <w:p w14:paraId="48E6A4BD" w14:textId="77777777" w:rsidR="0028004F" w:rsidRPr="0028004F" w:rsidRDefault="0028004F" w:rsidP="0028004F">
      <w:pPr>
        <w:shd w:val="clear" w:color="auto" w:fill="FFFFFF"/>
        <w:spacing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004F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встановлення в багатоквартирному будинку сонячної електричної станції передбачається відшкодування 50% її вартості, але не більше 600 тис. грн. Таке відшкодування розповсюджується на сонячні електричні станції, які встановлені після прийняття цього рішення.</w:t>
      </w:r>
    </w:p>
    <w:p w14:paraId="1FC29298" w14:textId="517F3162" w:rsidR="007B242F" w:rsidRDefault="000B012E" w:rsidP="000B012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012E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придбання окремих елементів сонячної електричної станції, відшкодування здійснюється відповідно до пункту 3 Порядку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7966D85" w14:textId="77777777" w:rsidR="000B012E" w:rsidRPr="00E414C3" w:rsidRDefault="000B012E" w:rsidP="000B012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D" w14:textId="3DA3C338" w:rsidR="001B08ED" w:rsidRPr="000B012E" w:rsidRDefault="000B012E" w:rsidP="000B012E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2" w:name="_Hlk190336361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="0098456F" w:rsidRPr="000B01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C763C6" w:rsidRPr="000B0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завдання прийняття </w:t>
      </w:r>
      <w:proofErr w:type="spellStart"/>
      <w:r w:rsidR="00C763C6" w:rsidRPr="000B0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C763C6" w:rsidRPr="000B0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рішення.</w:t>
      </w:r>
    </w:p>
    <w:p w14:paraId="1E5AE0BC" w14:textId="77777777" w:rsidR="000B012E" w:rsidRPr="000B012E" w:rsidRDefault="000B012E" w:rsidP="000B012E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2"/>
    <w:p w14:paraId="096874A0" w14:textId="64F9D990" w:rsidR="00635F46" w:rsidRPr="00E414C3" w:rsidRDefault="0098456F" w:rsidP="00CC64E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Мета </w:t>
      </w:r>
      <w:proofErr w:type="spellStart"/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F47CAC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– практична реалізація механізмів фінансування заходів з </w:t>
      </w:r>
      <w:r w:rsid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поліпшення технічного та технологічного стану багатоповерхових</w:t>
      </w:r>
      <w:r w:rsidR="00007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будинків.</w:t>
      </w:r>
      <w:r w:rsidR="008669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0000010" w14:textId="4FE34691" w:rsidR="001B08ED" w:rsidRPr="000B012E" w:rsidRDefault="000B012E" w:rsidP="000B012E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3. </w:t>
      </w:r>
      <w:r w:rsidR="0098456F" w:rsidRPr="000B01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Правове обґрунтування необхідності прийняття рішення.</w:t>
      </w:r>
    </w:p>
    <w:p w14:paraId="1358EE50" w14:textId="77777777" w:rsidR="000B012E" w:rsidRDefault="000B012E" w:rsidP="00CC64E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14:paraId="00000011" w14:textId="675B73A8" w:rsidR="001B08ED" w:rsidRDefault="00130D8F" w:rsidP="00CC64E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D8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Відповідно до законів України «Про місцеве самоврядування в Україні», «Про житлово-комунальні послуги», «Про правовий режим воєнного стану», Указу Президента України від 24 лютого 2022 року № 64/2022 «Про введення </w:t>
      </w:r>
      <w:r w:rsidRPr="00130D8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lastRenderedPageBreak/>
        <w:t>воєнного стану в Україні», затвердженого Законом України «Про затвердження Указу Президента України «Про введення воєнного стану в Україні»</w:t>
      </w:r>
      <w:r w:rsidR="006F7AD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130D8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 </w:t>
      </w:r>
      <w:r w:rsidR="0098456F" w:rsidRPr="00130D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B4F1569" w14:textId="77777777" w:rsidR="000B012E" w:rsidRPr="00130D8F" w:rsidRDefault="000B012E" w:rsidP="00CC64E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14:paraId="00000012" w14:textId="64B86A66" w:rsidR="001B08ED" w:rsidRPr="000B012E" w:rsidRDefault="000B012E" w:rsidP="000B012E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І</w:t>
      </w:r>
      <w:r w:rsidR="0098456F" w:rsidRPr="000B01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нформація про те, чи стосується </w:t>
      </w:r>
      <w:proofErr w:type="spellStart"/>
      <w:r w:rsidR="0098456F" w:rsidRPr="000B01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</w:t>
      </w:r>
      <w:proofErr w:type="spellEnd"/>
      <w:r w:rsidR="0098456F" w:rsidRPr="000B01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 прав і соціальної захищеності осіб з інвалідністю.</w:t>
      </w:r>
    </w:p>
    <w:p w14:paraId="09F5B476" w14:textId="77777777" w:rsidR="000B012E" w:rsidRDefault="000B012E" w:rsidP="00C763C6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99824" w14:textId="55BB3539" w:rsidR="00C763C6" w:rsidRPr="0060362D" w:rsidRDefault="00C763C6" w:rsidP="00C763C6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3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0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Київської міської ради не стосується прав і соціальної захищеності осіб з інвалідністю та не має вплив</w:t>
      </w:r>
      <w:r w:rsidR="00142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0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життєдіяльність цієї категорії.</w:t>
      </w:r>
    </w:p>
    <w:p w14:paraId="59D8EF3D" w14:textId="77777777" w:rsidR="00E414C3" w:rsidRPr="00E414C3" w:rsidRDefault="00E414C3" w:rsidP="00CC64E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1FDB12" w14:textId="77777777" w:rsidR="00C763C6" w:rsidRPr="0060362D" w:rsidRDefault="00C763C6" w:rsidP="00C763C6">
      <w:pPr>
        <w:widowControl w:val="0"/>
        <w:tabs>
          <w:tab w:val="left" w:pos="3660"/>
          <w:tab w:val="left" w:pos="7380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19033640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0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71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Відповідність </w:t>
      </w:r>
      <w:proofErr w:type="spellStart"/>
      <w:r w:rsidRPr="00771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771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до Закону України </w:t>
      </w:r>
      <w:r w:rsidRPr="00771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 доступ  до публічної інформації».</w:t>
      </w:r>
    </w:p>
    <w:p w14:paraId="7B1C3409" w14:textId="77777777" w:rsidR="000B012E" w:rsidRDefault="000B012E" w:rsidP="00CC64E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5" w14:textId="3218C3CC" w:rsidR="001B08ED" w:rsidRDefault="0098456F" w:rsidP="00CC64E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не містить інформації з обмеженим доступом у розумінні статті 6 Закону України «Про доступ до публічної інформації».</w:t>
      </w:r>
    </w:p>
    <w:p w14:paraId="76FB8110" w14:textId="77777777" w:rsidR="000B012E" w:rsidRDefault="000B012E" w:rsidP="00CC64E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E97A85" w14:textId="46ECFEE3" w:rsidR="00C763C6" w:rsidRDefault="00C763C6" w:rsidP="00C763C6">
      <w:pPr>
        <w:spacing w:line="240" w:lineRule="auto"/>
        <w:ind w:right="-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71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Відповідність </w:t>
      </w:r>
      <w:proofErr w:type="spellStart"/>
      <w:r w:rsidRPr="00771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771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до З</w:t>
      </w:r>
      <w:r w:rsidRPr="00771E96">
        <w:rPr>
          <w:rFonts w:ascii="Times New Roman" w:hAnsi="Times New Roman" w:cs="Times New Roman"/>
          <w:b/>
          <w:sz w:val="28"/>
          <w:szCs w:val="28"/>
        </w:rPr>
        <w:t>аконів України «Про інформацію» та «Про захист персональних даних».</w:t>
      </w:r>
    </w:p>
    <w:p w14:paraId="0CFB1493" w14:textId="77777777" w:rsidR="000B012E" w:rsidRDefault="000B012E" w:rsidP="00C763C6">
      <w:pPr>
        <w:spacing w:line="240" w:lineRule="auto"/>
        <w:ind w:right="-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C6601" w14:textId="1750F12B" w:rsidR="00635F46" w:rsidRDefault="00635F46" w:rsidP="00CC64E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E414C3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  <w:r w:rsidRPr="00E414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  <w:bookmarkEnd w:id="3"/>
    </w:p>
    <w:p w14:paraId="1740C714" w14:textId="77777777" w:rsidR="000B012E" w:rsidRDefault="000B012E" w:rsidP="00CC64E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0000016" w14:textId="33A3AC62" w:rsidR="001B08ED" w:rsidRPr="00C763C6" w:rsidRDefault="0098456F" w:rsidP="00C763C6">
      <w:pPr>
        <w:pStyle w:val="a8"/>
        <w:numPr>
          <w:ilvl w:val="0"/>
          <w:numId w:val="2"/>
        </w:numPr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763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обґрунтування.</w:t>
      </w:r>
    </w:p>
    <w:p w14:paraId="56033480" w14:textId="77777777" w:rsidR="000B012E" w:rsidRDefault="000B012E" w:rsidP="00CC64E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FAB5EC" w14:textId="04052FB0" w:rsidR="00E414C3" w:rsidRDefault="0098456F" w:rsidP="00CC64E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заходів відбуватиметься за рахунок коштів </w:t>
      </w:r>
      <w:r w:rsidR="00E414C3"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бюджету міста Києва</w:t>
      </w: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5C7A8E3" w14:textId="77777777" w:rsidR="000B012E" w:rsidRPr="00E414C3" w:rsidRDefault="000B012E" w:rsidP="00CC64E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8" w14:textId="49B005F1" w:rsidR="001B08ED" w:rsidRPr="00CC64EE" w:rsidRDefault="00012907" w:rsidP="00012907">
      <w:pPr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29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8456F" w:rsidRPr="00CC64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  <w:r w:rsidR="00CC64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14:paraId="6875BB8B" w14:textId="77777777" w:rsidR="000B012E" w:rsidRDefault="000B012E" w:rsidP="00CC64E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991F26" w14:textId="5401E9DE" w:rsidR="00007F27" w:rsidRDefault="0098456F" w:rsidP="00CC64E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Практична реалізація фінансування заходів </w:t>
      </w:r>
      <w:r w:rsidR="00007F27"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007F2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поліпшення технічного та технологічного стану багатоповерхових</w:t>
      </w:r>
      <w:r w:rsidR="00C64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будинків</w:t>
      </w:r>
      <w:r w:rsidR="00007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0B59536E" w14:textId="77777777" w:rsidR="000B012E" w:rsidRPr="00E414C3" w:rsidRDefault="000B012E" w:rsidP="00CC64E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816B09" w14:textId="540559D6" w:rsidR="00C763C6" w:rsidRDefault="0098456F" w:rsidP="00C763C6">
      <w:pPr>
        <w:overflowPunct w:val="0"/>
        <w:spacing w:line="240" w:lineRule="auto"/>
        <w:ind w:firstLine="567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bookmarkStart w:id="4" w:name="_Hlk190336444"/>
      <w:r w:rsidR="00C763C6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9</w:t>
      </w:r>
      <w:r w:rsidR="00C763C6" w:rsidRPr="00771E96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. Громадське обговорення</w:t>
      </w:r>
      <w:r w:rsidR="00C763C6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.</w:t>
      </w:r>
    </w:p>
    <w:p w14:paraId="6DB97A9B" w14:textId="77777777" w:rsidR="000B012E" w:rsidRDefault="000B012E" w:rsidP="00C763C6">
      <w:pPr>
        <w:overflowPunct w:val="0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14:paraId="56B19C84" w14:textId="07A8B1CB" w:rsidR="00C763C6" w:rsidRDefault="00C763C6" w:rsidP="00C763C6">
      <w:pPr>
        <w:overflowPunct w:val="0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proofErr w:type="spellStart"/>
      <w:r w:rsidRPr="00771E96">
        <w:rPr>
          <w:rFonts w:ascii="Times New Roman" w:hAnsi="Times New Roman" w:cs="Times New Roman"/>
          <w:kern w:val="2"/>
          <w:sz w:val="28"/>
          <w:szCs w:val="28"/>
          <w:lang w:eastAsia="ru-RU"/>
        </w:rPr>
        <w:t>Проєкт</w:t>
      </w:r>
      <w:proofErr w:type="spellEnd"/>
      <w:r w:rsidRPr="00771E96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рішення не потребує громадського обговорення.</w:t>
      </w:r>
    </w:p>
    <w:p w14:paraId="1387E7F0" w14:textId="77777777" w:rsidR="000B012E" w:rsidRPr="00771E96" w:rsidRDefault="000B012E" w:rsidP="00C763C6">
      <w:pPr>
        <w:overflowPunct w:val="0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14:paraId="0000001A" w14:textId="06A4A793" w:rsidR="001B08ED" w:rsidRPr="00CC64EE" w:rsidRDefault="0098456F" w:rsidP="00C763C6">
      <w:pPr>
        <w:pStyle w:val="a8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C64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Суб’єкт подання.</w:t>
      </w:r>
    </w:p>
    <w:p w14:paraId="71A705C8" w14:textId="77777777" w:rsidR="000B012E" w:rsidRDefault="000B012E" w:rsidP="00C763C6">
      <w:pPr>
        <w:widowControl w:val="0"/>
        <w:tabs>
          <w:tab w:val="num" w:pos="567"/>
          <w:tab w:val="left" w:pos="3660"/>
          <w:tab w:val="left" w:pos="738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7BD64CAA" w14:textId="7FA17F8B" w:rsidR="00C763C6" w:rsidRDefault="00C763C6" w:rsidP="00C763C6">
      <w:pPr>
        <w:widowControl w:val="0"/>
        <w:tabs>
          <w:tab w:val="num" w:pos="567"/>
          <w:tab w:val="left" w:pos="3660"/>
          <w:tab w:val="left" w:pos="738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0362D">
        <w:rPr>
          <w:rFonts w:ascii="Times New Roman" w:eastAsia="Calibri" w:hAnsi="Times New Roman" w:cs="Times New Roman"/>
          <w:sz w:val="28"/>
          <w:szCs w:val="20"/>
          <w:lang w:eastAsia="ru-RU"/>
        </w:rPr>
        <w:t>Суб’єкт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ом</w:t>
      </w:r>
      <w:r w:rsidRPr="0060362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подання </w:t>
      </w:r>
      <w:proofErr w:type="spellStart"/>
      <w:r w:rsidRPr="0060362D">
        <w:rPr>
          <w:rFonts w:ascii="Times New Roman" w:eastAsia="Calibri" w:hAnsi="Times New Roman" w:cs="Times New Roman"/>
          <w:sz w:val="28"/>
          <w:szCs w:val="20"/>
          <w:lang w:eastAsia="ru-RU"/>
        </w:rPr>
        <w:t>проєкту</w:t>
      </w:r>
      <w:proofErr w:type="spellEnd"/>
      <w:r w:rsidRPr="0060362D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рішення є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постійна комісія Київської міської ради з питань житлово-комунального господарства та паливно-енергетичного комплексу, депутати Київської міської ради – члени постійної комісії Київської міської ради з питань житлово-комунального господарства та паливно-енергетичного комплексу.</w:t>
      </w:r>
    </w:p>
    <w:p w14:paraId="6748198E" w14:textId="77777777" w:rsidR="00C763C6" w:rsidRPr="00771E96" w:rsidRDefault="00C763C6" w:rsidP="00C763C6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Відповідальним за супроводження </w:t>
      </w:r>
      <w:proofErr w:type="spellStart"/>
      <w:r w:rsidRPr="00771E9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771E96">
        <w:rPr>
          <w:rFonts w:ascii="Times New Roman" w:eastAsia="Times New Roman" w:hAnsi="Times New Roman" w:cs="Times New Roman"/>
          <w:sz w:val="28"/>
          <w:szCs w:val="28"/>
        </w:rPr>
        <w:t xml:space="preserve"> рішення та доповідачем на всіх стадіях розгляду та пленарному засіданні Київської міської ради є голова </w:t>
      </w:r>
      <w:r w:rsidRPr="00771E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постійної комісії Київської міської ради з питань житлово-комунального господарства та паливно-енергетичного комплексу Бродський Олександр Якович, </w:t>
      </w:r>
      <w:proofErr w:type="spellStart"/>
      <w:r w:rsidRPr="00771E96">
        <w:rPr>
          <w:rFonts w:ascii="Times New Roman" w:eastAsia="Times New Roman" w:hAnsi="Times New Roman" w:cs="Times New Roman"/>
          <w:sz w:val="28"/>
          <w:szCs w:val="28"/>
        </w:rPr>
        <w:t>к.т</w:t>
      </w:r>
      <w:proofErr w:type="spellEnd"/>
      <w:r w:rsidRPr="00771E96">
        <w:rPr>
          <w:rFonts w:ascii="Times New Roman" w:eastAsia="Times New Roman" w:hAnsi="Times New Roman" w:cs="Times New Roman"/>
          <w:sz w:val="28"/>
          <w:szCs w:val="28"/>
        </w:rPr>
        <w:t xml:space="preserve">. 202-73-11,  співдоповідачем 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житлово-комунальної інфраструктури виконавчого органу Київської міської ради (Київської міської державної адміністрації) Науменко Дмитро Володимирович,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272-10-91.</w:t>
      </w:r>
    </w:p>
    <w:p w14:paraId="036523A6" w14:textId="77777777" w:rsidR="00C763C6" w:rsidRPr="00771E96" w:rsidRDefault="00C763C6" w:rsidP="00C763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154D07" w14:textId="77777777" w:rsidR="00C763C6" w:rsidRPr="00771E96" w:rsidRDefault="00C763C6" w:rsidP="00C763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>Постійна комісія Київської міської ради</w:t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7E38E872" w14:textId="77777777" w:rsidR="00C763C6" w:rsidRPr="00771E96" w:rsidRDefault="00C763C6" w:rsidP="00C763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з питань житлово-комунального господарства </w:t>
      </w:r>
    </w:p>
    <w:p w14:paraId="683A549F" w14:textId="77777777" w:rsidR="00C763C6" w:rsidRPr="00771E96" w:rsidRDefault="00C763C6" w:rsidP="00C763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>та паливно-енергетичного комплексу,</w:t>
      </w:r>
    </w:p>
    <w:p w14:paraId="20CD57AB" w14:textId="77777777" w:rsidR="00C763C6" w:rsidRDefault="00C763C6" w:rsidP="00C763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>депутати Київської міської ради:</w:t>
      </w:r>
    </w:p>
    <w:p w14:paraId="00A8F0EC" w14:textId="77777777" w:rsidR="00C763C6" w:rsidRPr="00771E96" w:rsidRDefault="00C763C6" w:rsidP="00C763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AB2386" w14:textId="77777777" w:rsidR="008D761A" w:rsidRPr="009B2258" w:rsidRDefault="008D761A" w:rsidP="008D761A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Голова постійної комісії                                                     Олександр БРОДСЬКИЙ </w:t>
      </w:r>
    </w:p>
    <w:p w14:paraId="637ED82B" w14:textId="77777777" w:rsidR="008D761A" w:rsidRDefault="008D761A" w:rsidP="008D761A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Секретар постійної комісії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Тарас КРИВОРУЧКО </w:t>
      </w:r>
    </w:p>
    <w:p w14:paraId="1437D9A4" w14:textId="77777777" w:rsidR="008D761A" w:rsidRDefault="008D761A" w:rsidP="008D761A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Юрій ТИХОНОВИЧ </w:t>
      </w:r>
    </w:p>
    <w:p w14:paraId="3DA53142" w14:textId="77777777" w:rsidR="008D761A" w:rsidRDefault="008D761A" w:rsidP="008D761A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Віталій ПАВЛИК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55F922A" w14:textId="77777777" w:rsidR="008D761A" w:rsidRPr="00656ED9" w:rsidRDefault="008D761A" w:rsidP="008D761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>лен постійної комісії                                                                      Олександр ПОПОВ</w:t>
      </w:r>
    </w:p>
    <w:p w14:paraId="3E76F8ED" w14:textId="77777777" w:rsidR="008D761A" w:rsidRPr="009B2258" w:rsidRDefault="008D761A" w:rsidP="008D761A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киня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постійної комісії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Олеся САМОЛУДЧЕНКО</w:t>
      </w: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</w:p>
    <w:p w14:paraId="75386141" w14:textId="77777777" w:rsidR="008D761A" w:rsidRPr="00656ED9" w:rsidRDefault="008D761A" w:rsidP="008D761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>лен постійної комісії                                                                               Ігор ШПАК</w:t>
      </w:r>
    </w:p>
    <w:p w14:paraId="00000032" w14:textId="77777777" w:rsidR="001B08ED" w:rsidRPr="00E414C3" w:rsidRDefault="0098456F" w:rsidP="00E414C3">
      <w:pPr>
        <w:spacing w:line="240" w:lineRule="auto"/>
        <w:ind w:right="-140" w:firstLine="2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0000033" w14:textId="77777777" w:rsidR="001B08ED" w:rsidRPr="00E414C3" w:rsidRDefault="0098456F" w:rsidP="00E414C3">
      <w:pPr>
        <w:spacing w:line="240" w:lineRule="auto"/>
        <w:ind w:right="-140" w:firstLine="2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1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bookmarkEnd w:id="4"/>
    <w:p w14:paraId="00000034" w14:textId="77777777" w:rsidR="001B08ED" w:rsidRPr="00E414C3" w:rsidRDefault="001B08ED" w:rsidP="00E414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B08ED" w:rsidRPr="00E414C3" w:rsidSect="00B85005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35E4A"/>
    <w:multiLevelType w:val="hybridMultilevel"/>
    <w:tmpl w:val="72C0911C"/>
    <w:lvl w:ilvl="0" w:tplc="D3CCD792">
      <w:start w:val="7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EE04BF"/>
    <w:multiLevelType w:val="hybridMultilevel"/>
    <w:tmpl w:val="9F10D412"/>
    <w:lvl w:ilvl="0" w:tplc="430A4E92">
      <w:start w:val="10"/>
      <w:numFmt w:val="decimal"/>
      <w:lvlText w:val="%1."/>
      <w:lvlJc w:val="left"/>
      <w:pPr>
        <w:ind w:left="442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26" w:hanging="360"/>
      </w:pPr>
    </w:lvl>
    <w:lvl w:ilvl="2" w:tplc="0422001B" w:tentative="1">
      <w:start w:val="1"/>
      <w:numFmt w:val="lowerRoman"/>
      <w:lvlText w:val="%3."/>
      <w:lvlJc w:val="right"/>
      <w:pPr>
        <w:ind w:left="5846" w:hanging="180"/>
      </w:pPr>
    </w:lvl>
    <w:lvl w:ilvl="3" w:tplc="0422000F" w:tentative="1">
      <w:start w:val="1"/>
      <w:numFmt w:val="decimal"/>
      <w:lvlText w:val="%4."/>
      <w:lvlJc w:val="left"/>
      <w:pPr>
        <w:ind w:left="6566" w:hanging="360"/>
      </w:pPr>
    </w:lvl>
    <w:lvl w:ilvl="4" w:tplc="04220019" w:tentative="1">
      <w:start w:val="1"/>
      <w:numFmt w:val="lowerLetter"/>
      <w:lvlText w:val="%5."/>
      <w:lvlJc w:val="left"/>
      <w:pPr>
        <w:ind w:left="7286" w:hanging="360"/>
      </w:pPr>
    </w:lvl>
    <w:lvl w:ilvl="5" w:tplc="0422001B" w:tentative="1">
      <w:start w:val="1"/>
      <w:numFmt w:val="lowerRoman"/>
      <w:lvlText w:val="%6."/>
      <w:lvlJc w:val="right"/>
      <w:pPr>
        <w:ind w:left="8006" w:hanging="180"/>
      </w:pPr>
    </w:lvl>
    <w:lvl w:ilvl="6" w:tplc="0422000F" w:tentative="1">
      <w:start w:val="1"/>
      <w:numFmt w:val="decimal"/>
      <w:lvlText w:val="%7."/>
      <w:lvlJc w:val="left"/>
      <w:pPr>
        <w:ind w:left="8726" w:hanging="360"/>
      </w:pPr>
    </w:lvl>
    <w:lvl w:ilvl="7" w:tplc="04220019" w:tentative="1">
      <w:start w:val="1"/>
      <w:numFmt w:val="lowerLetter"/>
      <w:lvlText w:val="%8."/>
      <w:lvlJc w:val="left"/>
      <w:pPr>
        <w:ind w:left="9446" w:hanging="360"/>
      </w:pPr>
    </w:lvl>
    <w:lvl w:ilvl="8" w:tplc="0422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" w15:restartNumberingAfterBreak="0">
    <w:nsid w:val="57A81ACE"/>
    <w:multiLevelType w:val="hybridMultilevel"/>
    <w:tmpl w:val="29786190"/>
    <w:lvl w:ilvl="0" w:tplc="BA168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ED"/>
    <w:rsid w:val="00006C93"/>
    <w:rsid w:val="00007F27"/>
    <w:rsid w:val="00012907"/>
    <w:rsid w:val="000B012E"/>
    <w:rsid w:val="00130D8F"/>
    <w:rsid w:val="00142713"/>
    <w:rsid w:val="00161BD6"/>
    <w:rsid w:val="00177D7A"/>
    <w:rsid w:val="001A5A1A"/>
    <w:rsid w:val="001B08ED"/>
    <w:rsid w:val="0028004F"/>
    <w:rsid w:val="002E2E2D"/>
    <w:rsid w:val="00361580"/>
    <w:rsid w:val="00425926"/>
    <w:rsid w:val="004341DF"/>
    <w:rsid w:val="004553A7"/>
    <w:rsid w:val="004800DF"/>
    <w:rsid w:val="004F3A72"/>
    <w:rsid w:val="00564B23"/>
    <w:rsid w:val="005D47FF"/>
    <w:rsid w:val="005D6C9D"/>
    <w:rsid w:val="005E4AA7"/>
    <w:rsid w:val="005F0863"/>
    <w:rsid w:val="00635F46"/>
    <w:rsid w:val="006B62CE"/>
    <w:rsid w:val="006C6652"/>
    <w:rsid w:val="006F7AD8"/>
    <w:rsid w:val="00707DF9"/>
    <w:rsid w:val="00730121"/>
    <w:rsid w:val="007759F9"/>
    <w:rsid w:val="007B242F"/>
    <w:rsid w:val="007D2A2E"/>
    <w:rsid w:val="00830621"/>
    <w:rsid w:val="008520DE"/>
    <w:rsid w:val="008669F2"/>
    <w:rsid w:val="008D761A"/>
    <w:rsid w:val="0098456F"/>
    <w:rsid w:val="00A36E21"/>
    <w:rsid w:val="00A57150"/>
    <w:rsid w:val="00AF7BA2"/>
    <w:rsid w:val="00B452BB"/>
    <w:rsid w:val="00B85005"/>
    <w:rsid w:val="00B859F7"/>
    <w:rsid w:val="00BF5B7A"/>
    <w:rsid w:val="00C642CC"/>
    <w:rsid w:val="00C763C6"/>
    <w:rsid w:val="00CC64EE"/>
    <w:rsid w:val="00D75E0B"/>
    <w:rsid w:val="00E414C3"/>
    <w:rsid w:val="00F03206"/>
    <w:rsid w:val="00F17938"/>
    <w:rsid w:val="00F40892"/>
    <w:rsid w:val="00F4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E3D1"/>
  <w15:docId w15:val="{6C7C266D-DB4C-49C9-BD29-907A37F6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B8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6">
    <w:name w:val="Hyperlink"/>
    <w:basedOn w:val="a0"/>
    <w:uiPriority w:val="99"/>
    <w:unhideWhenUsed/>
    <w:rsid w:val="00707DF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07DF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CC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3508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Валентина Миколаївна</dc:creator>
  <cp:lastModifiedBy>Антонюк Валентина Миколаївна</cp:lastModifiedBy>
  <cp:revision>6</cp:revision>
  <dcterms:created xsi:type="dcterms:W3CDTF">2025-03-04T13:19:00Z</dcterms:created>
  <dcterms:modified xsi:type="dcterms:W3CDTF">2025-03-06T14:41:00Z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2025-02-12T13:59:21Z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acbf90a8-a27b-425e-8183-137001f70df3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